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C35CC" w14:textId="77777777" w:rsidR="00D1201F" w:rsidRPr="00DF225F" w:rsidRDefault="00D1201F" w:rsidP="00D1201F">
      <w:pPr>
        <w:pStyle w:val="Nagwek4"/>
        <w:spacing w:after="0"/>
        <w:jc w:val="both"/>
        <w:rPr>
          <w:rFonts w:ascii="Bookman Old Style" w:hAnsi="Bookman Old Style"/>
          <w:sz w:val="28"/>
          <w:szCs w:val="32"/>
        </w:rPr>
      </w:pPr>
      <w:bookmarkStart w:id="0" w:name="_Toc459914201"/>
      <w:bookmarkStart w:id="1" w:name="_Toc501399540"/>
      <w:r w:rsidRPr="00DF225F">
        <w:rPr>
          <w:rFonts w:ascii="Bookman Old Style" w:hAnsi="Bookman Old Style"/>
          <w:sz w:val="28"/>
          <w:szCs w:val="32"/>
        </w:rPr>
        <w:t>D-07.02.01. Oznakowanie pionowe</w:t>
      </w:r>
      <w:bookmarkEnd w:id="0"/>
      <w:bookmarkEnd w:id="1"/>
    </w:p>
    <w:p w14:paraId="44988B88" w14:textId="77777777" w:rsidR="00D1201F" w:rsidRPr="00362A50" w:rsidRDefault="00D1201F" w:rsidP="00D1201F">
      <w:pPr>
        <w:spacing w:before="240"/>
        <w:jc w:val="both"/>
        <w:rPr>
          <w:rFonts w:ascii="Bookman Old Style" w:hAnsi="Bookman Old Style"/>
          <w:b/>
          <w:sz w:val="20"/>
        </w:rPr>
      </w:pPr>
      <w:r w:rsidRPr="00362A50">
        <w:rPr>
          <w:rFonts w:ascii="Bookman Old Style" w:hAnsi="Bookman Old Style"/>
          <w:b/>
          <w:sz w:val="20"/>
        </w:rPr>
        <w:t>l. WSTĘP</w:t>
      </w:r>
    </w:p>
    <w:p w14:paraId="2B2DB1A1"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1.l.Przedmiot STWiORB</w:t>
      </w:r>
    </w:p>
    <w:p w14:paraId="1304436F" w14:textId="180BC7B0" w:rsidR="00D1201F" w:rsidRPr="00700D02" w:rsidRDefault="00D1201F" w:rsidP="00D1201F">
      <w:pPr>
        <w:jc w:val="both"/>
        <w:rPr>
          <w:rFonts w:ascii="Bookman Old Style" w:hAnsi="Bookman Old Style"/>
          <w:b/>
          <w:sz w:val="20"/>
          <w:szCs w:val="20"/>
        </w:rPr>
      </w:pPr>
      <w:r w:rsidRPr="00362A50">
        <w:rPr>
          <w:rFonts w:ascii="Bookman Old Style" w:hAnsi="Bookman Old Style"/>
          <w:snapToGrid w:val="0"/>
          <w:sz w:val="20"/>
        </w:rPr>
        <w:t xml:space="preserve">Przedmiotem niniejszej STWiORB są wymagania dotyczące wykonania i odbioru oznakowania pionowego, dla zadania pn.: </w:t>
      </w:r>
      <w:r w:rsidR="002657BD" w:rsidRPr="002657BD">
        <w:rPr>
          <w:rFonts w:ascii="Bookman Old Style" w:hAnsi="Bookman Old Style"/>
          <w:b/>
          <w:bCs/>
          <w:sz w:val="20"/>
          <w:szCs w:val="20"/>
        </w:rPr>
        <w:t>„Budowa ul. Cichej, Południowej i Zachodniej w msc. Bukowa</w:t>
      </w:r>
      <w:r w:rsidR="00731C9C" w:rsidRPr="00CE7A8F">
        <w:rPr>
          <w:rFonts w:ascii="Bookman Old Style" w:hAnsi="Bookman Old Style"/>
          <w:b/>
          <w:sz w:val="20"/>
          <w:szCs w:val="20"/>
        </w:rPr>
        <w:t>”</w:t>
      </w:r>
      <w:r w:rsidRPr="00700D02">
        <w:rPr>
          <w:rFonts w:ascii="Bookman Old Style" w:hAnsi="Bookman Old Style"/>
          <w:b/>
          <w:sz w:val="20"/>
          <w:szCs w:val="20"/>
        </w:rPr>
        <w:t>.</w:t>
      </w:r>
    </w:p>
    <w:p w14:paraId="259BB9EA" w14:textId="77777777" w:rsidR="00D1201F" w:rsidRPr="00362A50" w:rsidRDefault="00D1201F" w:rsidP="00D1201F">
      <w:pPr>
        <w:pStyle w:val="Nagwek"/>
        <w:jc w:val="both"/>
        <w:rPr>
          <w:rFonts w:ascii="Bookman Old Style" w:hAnsi="Bookman Old Style"/>
          <w:b/>
          <w:sz w:val="20"/>
          <w:u w:val="single"/>
        </w:rPr>
      </w:pPr>
      <w:r w:rsidRPr="00362A50">
        <w:rPr>
          <w:rFonts w:ascii="Bookman Old Style" w:hAnsi="Bookman Old Style"/>
          <w:b/>
          <w:sz w:val="20"/>
          <w:u w:val="single"/>
        </w:rPr>
        <w:t>1.2.Zakres stosowania STWiORB</w:t>
      </w:r>
    </w:p>
    <w:p w14:paraId="62380F83" w14:textId="77777777" w:rsidR="00D1201F" w:rsidRPr="00362A50" w:rsidRDefault="00D1201F" w:rsidP="00D1201F">
      <w:pPr>
        <w:pStyle w:val="Tekstpodstawowy3"/>
        <w:tabs>
          <w:tab w:val="clear" w:pos="0"/>
          <w:tab w:val="clear" w:pos="8809"/>
        </w:tabs>
        <w:rPr>
          <w:rFonts w:ascii="Bookman Old Style" w:hAnsi="Bookman Old Style"/>
          <w:sz w:val="20"/>
        </w:rPr>
      </w:pPr>
      <w:r w:rsidRPr="00362A50">
        <w:rPr>
          <w:rFonts w:ascii="Bookman Old Style" w:hAnsi="Bookman Old Style"/>
          <w:sz w:val="20"/>
        </w:rPr>
        <w:t xml:space="preserve">STWiORB jest stosowana jako dokument kontraktowy przy realizacji robót wymienionych w p. 1.1. </w:t>
      </w:r>
    </w:p>
    <w:p w14:paraId="1BB7F5B3"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1.3. Zakres robót objętych STWiORB</w:t>
      </w:r>
    </w:p>
    <w:p w14:paraId="7B599716" w14:textId="77777777" w:rsidR="00D1201F" w:rsidRPr="00362A50" w:rsidRDefault="00D1201F" w:rsidP="00D1201F">
      <w:pPr>
        <w:pStyle w:val="tekstost"/>
        <w:rPr>
          <w:rFonts w:ascii="Bookman Old Style" w:hAnsi="Bookman Old Style"/>
        </w:rPr>
      </w:pPr>
      <w:r w:rsidRPr="00362A50">
        <w:rPr>
          <w:rFonts w:ascii="Bookman Old Style" w:hAnsi="Bookman Old Style"/>
        </w:rPr>
        <w:t xml:space="preserve">Ustalenia zawarte w niniejszej specyfikacji dotyczą zasad prowadzenia robót związanych </w:t>
      </w:r>
      <w:r w:rsidRPr="00362A50">
        <w:rPr>
          <w:rFonts w:ascii="Bookman Old Style" w:hAnsi="Bookman Old Style"/>
        </w:rPr>
        <w:br/>
        <w:t xml:space="preserve">z wykonaniem, kontrolą i odbiorem oznakowania pionowego w lokalizacji zgodnej </w:t>
      </w:r>
      <w:r w:rsidRPr="00362A50">
        <w:rPr>
          <w:rFonts w:ascii="Bookman Old Style" w:hAnsi="Bookman Old Style"/>
        </w:rPr>
        <w:br/>
        <w:t>z Dokumentacją Projektową</w:t>
      </w:r>
      <w:r>
        <w:rPr>
          <w:rFonts w:ascii="Bookman Old Style" w:hAnsi="Bookman Old Style"/>
        </w:rPr>
        <w:t>.</w:t>
      </w:r>
    </w:p>
    <w:p w14:paraId="370616A3"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1.4. Określenia podstawowe</w:t>
      </w:r>
    </w:p>
    <w:p w14:paraId="7F9F3790" w14:textId="77777777" w:rsidR="00D1201F" w:rsidRPr="00362A50" w:rsidRDefault="00D1201F" w:rsidP="00D1201F">
      <w:pPr>
        <w:numPr>
          <w:ilvl w:val="12"/>
          <w:numId w:val="0"/>
        </w:numPr>
        <w:overflowPunct w:val="0"/>
        <w:autoSpaceDE w:val="0"/>
        <w:autoSpaceDN w:val="0"/>
        <w:adjustRightInd w:val="0"/>
        <w:jc w:val="both"/>
        <w:rPr>
          <w:rFonts w:ascii="Bookman Old Style" w:hAnsi="Bookman Old Style"/>
          <w:sz w:val="20"/>
          <w:szCs w:val="20"/>
        </w:rPr>
      </w:pPr>
      <w:r w:rsidRPr="00362A50">
        <w:rPr>
          <w:rFonts w:ascii="Bookman Old Style" w:hAnsi="Bookman Old Style"/>
          <w:b/>
          <w:sz w:val="20"/>
        </w:rPr>
        <w:t xml:space="preserve">1.4.1. </w:t>
      </w:r>
      <w:r w:rsidRPr="00362A50">
        <w:rPr>
          <w:rFonts w:ascii="Bookman Old Style" w:hAnsi="Bookman Old Style"/>
          <w:b/>
          <w:sz w:val="20"/>
          <w:szCs w:val="20"/>
        </w:rPr>
        <w:t>Stały znak drogowy pionowy</w:t>
      </w:r>
      <w:r w:rsidRPr="00362A50">
        <w:rPr>
          <w:rFonts w:ascii="Bookman Old Style" w:hAnsi="Bookman Old Style"/>
          <w:sz w:val="20"/>
          <w:szCs w:val="20"/>
        </w:rPr>
        <w:t xml:space="preserve"> - składa się z lica, tarczy z uchwytem montażowym oraz z konstrukcji wsporczej. </w:t>
      </w:r>
    </w:p>
    <w:p w14:paraId="1A23930A" w14:textId="77777777" w:rsidR="00D1201F" w:rsidRPr="00362A50" w:rsidRDefault="00D1201F" w:rsidP="00D1201F">
      <w:pPr>
        <w:tabs>
          <w:tab w:val="left" w:pos="552"/>
          <w:tab w:val="left" w:pos="8080"/>
        </w:tabs>
        <w:jc w:val="both"/>
        <w:rPr>
          <w:rFonts w:ascii="Bookman Old Style" w:hAnsi="Bookman Old Style"/>
          <w:sz w:val="20"/>
        </w:rPr>
      </w:pPr>
      <w:r w:rsidRPr="00362A50">
        <w:rPr>
          <w:rFonts w:ascii="Bookman Old Style" w:hAnsi="Bookman Old Style"/>
          <w:b/>
          <w:sz w:val="20"/>
        </w:rPr>
        <w:t xml:space="preserve">1.4.2. Tarcza znaku </w:t>
      </w:r>
      <w:r w:rsidRPr="00362A50">
        <w:rPr>
          <w:rFonts w:ascii="Bookman Old Style" w:hAnsi="Bookman Old Style"/>
          <w:sz w:val="20"/>
        </w:rPr>
        <w:t xml:space="preserve">- </w:t>
      </w:r>
      <w:r w:rsidRPr="00362A50">
        <w:rPr>
          <w:rFonts w:ascii="Bookman Old Style" w:hAnsi="Bookman Old Style"/>
          <w:sz w:val="20"/>
          <w:szCs w:val="20"/>
        </w:rPr>
        <w:t>płaska powierzchnia z usztywnioną krawędzią, na której w sposób trwały umieszczone jest lico znaku. Tarcza może być wykonana z blachy stalowej ocynkowanej ogniowo albo aluminiowej zabezpieczona przed procesami korozji powłokami ochronnymi  zapewniającymi jakość i trwałość wykonanego znaku.</w:t>
      </w:r>
    </w:p>
    <w:p w14:paraId="61CCA6B2" w14:textId="77777777" w:rsidR="00D1201F" w:rsidRPr="00362A50" w:rsidRDefault="00D1201F" w:rsidP="00D1201F">
      <w:pPr>
        <w:numPr>
          <w:ilvl w:val="12"/>
          <w:numId w:val="0"/>
        </w:numPr>
        <w:overflowPunct w:val="0"/>
        <w:autoSpaceDE w:val="0"/>
        <w:autoSpaceDN w:val="0"/>
        <w:adjustRightInd w:val="0"/>
        <w:jc w:val="both"/>
        <w:rPr>
          <w:rFonts w:ascii="Bookman Old Style" w:hAnsi="Bookman Old Style"/>
          <w:sz w:val="20"/>
          <w:szCs w:val="20"/>
        </w:rPr>
      </w:pPr>
      <w:r w:rsidRPr="00362A50">
        <w:rPr>
          <w:rFonts w:ascii="Bookman Old Style" w:hAnsi="Bookman Old Style"/>
          <w:b/>
          <w:sz w:val="20"/>
        </w:rPr>
        <w:t xml:space="preserve">1.4.3. Lico znaku </w:t>
      </w:r>
      <w:r w:rsidRPr="00362A50">
        <w:rPr>
          <w:rFonts w:ascii="Bookman Old Style" w:hAnsi="Bookman Old Style"/>
          <w:sz w:val="20"/>
        </w:rPr>
        <w:t>-</w:t>
      </w:r>
      <w:r w:rsidRPr="00362A50">
        <w:rPr>
          <w:rFonts w:ascii="Bookman Old Style" w:hAnsi="Bookman Old Style"/>
          <w:sz w:val="20"/>
          <w:szCs w:val="20"/>
        </w:rPr>
        <w:t xml:space="preserve"> przednia część znaku, wykonana z samoprzylepnej folii odblaskowej wraz z naniesioną treścią, wykonaną techniką druku sitowego, wyklejaną z transparentnych folii ploterowych lub z folii odblaskowych.</w:t>
      </w:r>
    </w:p>
    <w:p w14:paraId="0323E01F" w14:textId="77777777" w:rsidR="00D1201F" w:rsidRPr="00362A50" w:rsidRDefault="00D1201F" w:rsidP="00D1201F">
      <w:pPr>
        <w:tabs>
          <w:tab w:val="left" w:pos="532"/>
        </w:tabs>
        <w:jc w:val="both"/>
        <w:rPr>
          <w:rFonts w:ascii="Bookman Old Style" w:hAnsi="Bookman Old Style"/>
          <w:sz w:val="20"/>
        </w:rPr>
      </w:pPr>
      <w:r w:rsidRPr="00362A50">
        <w:rPr>
          <w:rFonts w:ascii="Bookman Old Style" w:hAnsi="Bookman Old Style"/>
          <w:b/>
          <w:sz w:val="20"/>
        </w:rPr>
        <w:t xml:space="preserve">1.4.4. Znak drogowy nieodblaskowy </w:t>
      </w:r>
      <w:r w:rsidRPr="00362A50">
        <w:rPr>
          <w:rFonts w:ascii="Bookman Old Style" w:hAnsi="Bookman Old Style"/>
          <w:sz w:val="20"/>
        </w:rPr>
        <w:t>- znak którego lico wykonane jest z materiałów zwykłych (lico nie wykazuje właściwości odblaskowych).</w:t>
      </w:r>
    </w:p>
    <w:p w14:paraId="1259B67E" w14:textId="77777777" w:rsidR="00D1201F" w:rsidRPr="00362A50" w:rsidRDefault="00D1201F" w:rsidP="00D1201F">
      <w:pPr>
        <w:tabs>
          <w:tab w:val="left" w:pos="561"/>
        </w:tabs>
        <w:jc w:val="both"/>
        <w:rPr>
          <w:rFonts w:ascii="Bookman Old Style" w:hAnsi="Bookman Old Style"/>
          <w:sz w:val="20"/>
        </w:rPr>
      </w:pPr>
      <w:r w:rsidRPr="00362A50">
        <w:rPr>
          <w:rFonts w:ascii="Bookman Old Style" w:hAnsi="Bookman Old Style"/>
          <w:b/>
          <w:sz w:val="20"/>
        </w:rPr>
        <w:t xml:space="preserve">1.4.5. Znak drogowy odblaskowy </w:t>
      </w:r>
      <w:r w:rsidRPr="00362A50">
        <w:rPr>
          <w:rFonts w:ascii="Bookman Old Style" w:hAnsi="Bookman Old Style"/>
          <w:sz w:val="20"/>
        </w:rPr>
        <w:t>- znak którego lico wykazuje właściwości odblaskowe (wykonane jest z materiału o odbiciu powrotnym - współdrożnym).</w:t>
      </w:r>
    </w:p>
    <w:p w14:paraId="16BAC038" w14:textId="77777777" w:rsidR="00D1201F" w:rsidRPr="00362A50" w:rsidRDefault="00D1201F" w:rsidP="00D1201F">
      <w:pPr>
        <w:tabs>
          <w:tab w:val="left" w:pos="552"/>
        </w:tabs>
        <w:jc w:val="both"/>
        <w:rPr>
          <w:rFonts w:ascii="Bookman Old Style" w:hAnsi="Bookman Old Style"/>
          <w:sz w:val="20"/>
          <w:szCs w:val="20"/>
        </w:rPr>
      </w:pPr>
      <w:r w:rsidRPr="00362A50">
        <w:rPr>
          <w:rFonts w:ascii="Bookman Old Style" w:hAnsi="Bookman Old Style"/>
          <w:b/>
          <w:sz w:val="20"/>
        </w:rPr>
        <w:t xml:space="preserve">1.4.6. Konstrukcja wsporcza znaku </w:t>
      </w:r>
      <w:r w:rsidRPr="00362A50">
        <w:rPr>
          <w:rFonts w:ascii="Bookman Old Style" w:hAnsi="Bookman Old Style"/>
          <w:sz w:val="20"/>
        </w:rPr>
        <w:t xml:space="preserve">- </w:t>
      </w:r>
      <w:r w:rsidRPr="00362A50">
        <w:rPr>
          <w:rFonts w:ascii="Bookman Old Style" w:hAnsi="Bookman Old Style"/>
          <w:sz w:val="20"/>
          <w:szCs w:val="20"/>
        </w:rPr>
        <w:t>każdy rodzaj konstrukcji (słupek, słup, słupy, kratownice, wysięgniki, bramy, wsporniki itp.) gwarantujący przenoszenie obciążeń zmiennych i stałych działających na konstrukcję i zamontowane na niej znaki lub tablice.</w:t>
      </w:r>
    </w:p>
    <w:p w14:paraId="156CD08E" w14:textId="77777777" w:rsidR="00D1201F" w:rsidRPr="00362A50" w:rsidRDefault="00D1201F" w:rsidP="00D1201F">
      <w:pPr>
        <w:tabs>
          <w:tab w:val="left" w:pos="1065"/>
        </w:tabs>
        <w:jc w:val="both"/>
        <w:rPr>
          <w:rFonts w:ascii="Bookman Old Style" w:hAnsi="Bookman Old Style"/>
          <w:sz w:val="20"/>
        </w:rPr>
      </w:pPr>
      <w:r w:rsidRPr="00362A50">
        <w:rPr>
          <w:rFonts w:ascii="Bookman Old Style" w:hAnsi="Bookman Old Style"/>
          <w:b/>
          <w:sz w:val="20"/>
        </w:rPr>
        <w:t xml:space="preserve">1.4.7. </w:t>
      </w:r>
      <w:r w:rsidRPr="00362A50">
        <w:rPr>
          <w:rFonts w:ascii="Bookman Old Style" w:hAnsi="Bookman Old Style"/>
          <w:sz w:val="20"/>
        </w:rPr>
        <w:t xml:space="preserve">Pozostałe określenia są zgodne z obowiązującymi, odpowiednimi polskimi normami i definicjami podanymi w STWiORB </w:t>
      </w:r>
      <w:r>
        <w:rPr>
          <w:rFonts w:ascii="Bookman Old Style" w:hAnsi="Bookman Old Style"/>
          <w:sz w:val="20"/>
        </w:rPr>
        <w:t xml:space="preserve">D-00.00.00 </w:t>
      </w:r>
      <w:r w:rsidRPr="00362A50">
        <w:rPr>
          <w:rFonts w:ascii="Bookman Old Style" w:hAnsi="Bookman Old Style"/>
          <w:sz w:val="20"/>
        </w:rPr>
        <w:t>"Wymagania ogólne" pkt 1.4.</w:t>
      </w:r>
    </w:p>
    <w:p w14:paraId="0A899182"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1.5. Ogólne wymagania dotyczące robót</w:t>
      </w:r>
    </w:p>
    <w:p w14:paraId="5A9FEB5C" w14:textId="77777777" w:rsidR="00D1201F" w:rsidRPr="00362A50" w:rsidRDefault="00D1201F" w:rsidP="00D1201F">
      <w:pPr>
        <w:tabs>
          <w:tab w:val="left" w:pos="744"/>
        </w:tabs>
        <w:jc w:val="both"/>
        <w:rPr>
          <w:rFonts w:ascii="Bookman Old Style" w:hAnsi="Bookman Old Style"/>
          <w:sz w:val="20"/>
        </w:rPr>
      </w:pPr>
      <w:r w:rsidRPr="00362A50">
        <w:rPr>
          <w:rFonts w:ascii="Bookman Old Style" w:hAnsi="Bookman Old Style"/>
          <w:sz w:val="20"/>
        </w:rPr>
        <w:t xml:space="preserve">Ogólne wymagania dotyczące robót podano STWiORB </w:t>
      </w:r>
      <w:r>
        <w:rPr>
          <w:rFonts w:ascii="Bookman Old Style" w:hAnsi="Bookman Old Style"/>
          <w:sz w:val="20"/>
        </w:rPr>
        <w:t xml:space="preserve">D-00.00.00 </w:t>
      </w:r>
      <w:r w:rsidRPr="00362A50">
        <w:rPr>
          <w:rFonts w:ascii="Bookman Old Style" w:hAnsi="Bookman Old Style"/>
          <w:sz w:val="20"/>
        </w:rPr>
        <w:t>"Wymagania ogólne" pkt 1.5.</w:t>
      </w:r>
    </w:p>
    <w:p w14:paraId="44151F09" w14:textId="77777777" w:rsidR="00D1201F" w:rsidRPr="00362A50" w:rsidRDefault="00D1201F" w:rsidP="00D1201F">
      <w:pPr>
        <w:spacing w:before="240"/>
        <w:jc w:val="both"/>
        <w:rPr>
          <w:rFonts w:ascii="Bookman Old Style" w:hAnsi="Bookman Old Style"/>
          <w:b/>
          <w:sz w:val="20"/>
        </w:rPr>
      </w:pPr>
      <w:r w:rsidRPr="00362A50">
        <w:rPr>
          <w:rFonts w:ascii="Bookman Old Style" w:hAnsi="Bookman Old Style"/>
          <w:b/>
          <w:sz w:val="20"/>
        </w:rPr>
        <w:t>2. MATERIAŁY</w:t>
      </w:r>
    </w:p>
    <w:p w14:paraId="79546459"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2.1. Wymagania ogólne dotyczące materiałów</w:t>
      </w:r>
    </w:p>
    <w:p w14:paraId="359AA07F" w14:textId="77777777" w:rsidR="00D1201F" w:rsidRPr="00362A50" w:rsidRDefault="00D1201F" w:rsidP="00D1201F">
      <w:pPr>
        <w:tabs>
          <w:tab w:val="left" w:pos="772"/>
        </w:tabs>
        <w:jc w:val="both"/>
        <w:rPr>
          <w:rFonts w:ascii="Bookman Old Style" w:hAnsi="Bookman Old Style"/>
          <w:sz w:val="20"/>
        </w:rPr>
      </w:pPr>
      <w:r w:rsidRPr="00362A50">
        <w:rPr>
          <w:rFonts w:ascii="Bookman Old Style" w:hAnsi="Bookman Old Style"/>
          <w:sz w:val="20"/>
        </w:rPr>
        <w:t xml:space="preserve">Wymagania ogólne dotyczące materiałów, ich pozyskiwania i składowania podano </w:t>
      </w:r>
      <w:r w:rsidRPr="00362A50">
        <w:rPr>
          <w:rFonts w:ascii="Bookman Old Style" w:hAnsi="Bookman Old Style"/>
          <w:sz w:val="20"/>
        </w:rPr>
        <w:br/>
        <w:t xml:space="preserve">w STWiORB </w:t>
      </w:r>
      <w:r>
        <w:rPr>
          <w:rFonts w:ascii="Bookman Old Style" w:hAnsi="Bookman Old Style"/>
          <w:sz w:val="20"/>
        </w:rPr>
        <w:t xml:space="preserve">D-00.00.00 </w:t>
      </w:r>
      <w:r w:rsidRPr="00362A50">
        <w:rPr>
          <w:rFonts w:ascii="Bookman Old Style" w:hAnsi="Bookman Old Style"/>
          <w:sz w:val="20"/>
        </w:rPr>
        <w:t>"Wymagania ogólne" pkt.2.</w:t>
      </w:r>
    </w:p>
    <w:p w14:paraId="080BECDA"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2.2. Dopuszczenie do stosowania</w:t>
      </w:r>
    </w:p>
    <w:p w14:paraId="4C8A09F6" w14:textId="77777777" w:rsidR="00D1201F" w:rsidRPr="00362A50" w:rsidRDefault="00D1201F" w:rsidP="00D1201F">
      <w:pPr>
        <w:tabs>
          <w:tab w:val="left" w:pos="772"/>
        </w:tabs>
        <w:jc w:val="both"/>
        <w:rPr>
          <w:rFonts w:ascii="Bookman Old Style" w:hAnsi="Bookman Old Style"/>
          <w:sz w:val="20"/>
        </w:rPr>
      </w:pPr>
      <w:r w:rsidRPr="00362A50">
        <w:rPr>
          <w:rFonts w:ascii="Bookman Old Style" w:hAnsi="Bookman Old Style"/>
          <w:sz w:val="20"/>
        </w:rPr>
        <w:t xml:space="preserve">Producent znaków drogowych powinien posiadać dla swojego wyrobu aprobatę techniczną, certyfikat zgodności nadany mu przez uprawnioną jednostkę certyfikującą, znak budowlany „B” i wystawioną przez siebie deklarację zgodności, zgodnie z rozporządzeniem Ministra Infrastruktury [17]. Folie odblaskowe stosowane na lica znaków drogowych powinny posiadać aprobatę techniczną wydaną przez uprawnioną jednostkę oraz deklaracje zgodności wystawioną przez producenta. Słupki, blachy i inne elementy konstrukcyjne powinny mieć deklaracje zgodności z odpowiednimi normami. </w:t>
      </w:r>
    </w:p>
    <w:p w14:paraId="66AD06FE" w14:textId="77777777" w:rsidR="00D1201F" w:rsidRPr="00362A50" w:rsidRDefault="00D1201F" w:rsidP="00D1201F">
      <w:pPr>
        <w:tabs>
          <w:tab w:val="left" w:pos="772"/>
        </w:tabs>
        <w:jc w:val="both"/>
        <w:rPr>
          <w:rFonts w:ascii="Bookman Old Style" w:hAnsi="Bookman Old Style"/>
          <w:sz w:val="20"/>
        </w:rPr>
      </w:pPr>
      <w:r w:rsidRPr="00362A50">
        <w:rPr>
          <w:rFonts w:ascii="Bookman Old Style" w:hAnsi="Bookman Old Style"/>
          <w:sz w:val="20"/>
        </w:rPr>
        <w:t>W załączniku nr 1 do rozporządzenia Ministra Infrastruktury z dnia 3 lipca 2003  w sprawie szczegółowych warunków technicznych dla znaków i sygnałów drogowych oraz urządzeń bezpieczeństwa ruchu drogowego i warunków ich umieszczania na drogach [15],  podano szczegółowe informacje odnośnie wymagań dla znaków pionowych.</w:t>
      </w:r>
    </w:p>
    <w:p w14:paraId="16F23C4E"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2.3. Materiały stosowane do fundamentów znaków</w:t>
      </w:r>
    </w:p>
    <w:p w14:paraId="660043BE" w14:textId="77777777" w:rsidR="00D1201F" w:rsidRPr="00362A50" w:rsidRDefault="00D1201F" w:rsidP="00D1201F">
      <w:pPr>
        <w:tabs>
          <w:tab w:val="left" w:pos="806"/>
        </w:tabs>
        <w:jc w:val="both"/>
        <w:rPr>
          <w:rFonts w:ascii="Bookman Old Style" w:hAnsi="Bookman Old Style"/>
          <w:sz w:val="20"/>
        </w:rPr>
      </w:pPr>
      <w:r w:rsidRPr="00362A50">
        <w:rPr>
          <w:rFonts w:ascii="Bookman Old Style" w:hAnsi="Bookman Old Style"/>
          <w:sz w:val="20"/>
        </w:rPr>
        <w:t xml:space="preserve">Fundamenty dla zamocowania konstrukcji wsporczych znaków mogą być wykonywane jako: </w:t>
      </w:r>
    </w:p>
    <w:p w14:paraId="3333ADD6" w14:textId="77777777" w:rsidR="00D1201F" w:rsidRPr="00362A50" w:rsidRDefault="00D1201F" w:rsidP="00D1201F">
      <w:pPr>
        <w:numPr>
          <w:ilvl w:val="0"/>
          <w:numId w:val="3"/>
        </w:numPr>
        <w:tabs>
          <w:tab w:val="clear" w:pos="720"/>
          <w:tab w:val="num" w:pos="284"/>
          <w:tab w:val="left" w:pos="806"/>
        </w:tabs>
        <w:ind w:hanging="720"/>
        <w:jc w:val="both"/>
        <w:rPr>
          <w:rFonts w:ascii="Bookman Old Style" w:hAnsi="Bookman Old Style"/>
          <w:sz w:val="20"/>
        </w:rPr>
      </w:pPr>
      <w:r w:rsidRPr="00362A50">
        <w:rPr>
          <w:rFonts w:ascii="Bookman Old Style" w:hAnsi="Bookman Old Style"/>
          <w:sz w:val="20"/>
        </w:rPr>
        <w:t>prefabrykaty betonowe,</w:t>
      </w:r>
    </w:p>
    <w:p w14:paraId="60A0AE1A" w14:textId="77777777" w:rsidR="00D1201F" w:rsidRPr="00362A50" w:rsidRDefault="00D1201F" w:rsidP="00D1201F">
      <w:pPr>
        <w:numPr>
          <w:ilvl w:val="0"/>
          <w:numId w:val="3"/>
        </w:numPr>
        <w:tabs>
          <w:tab w:val="clear" w:pos="720"/>
          <w:tab w:val="num" w:pos="284"/>
          <w:tab w:val="left" w:pos="792"/>
        </w:tabs>
        <w:ind w:hanging="720"/>
        <w:jc w:val="both"/>
        <w:rPr>
          <w:rFonts w:ascii="Bookman Old Style" w:hAnsi="Bookman Old Style"/>
          <w:sz w:val="20"/>
        </w:rPr>
      </w:pPr>
      <w:r w:rsidRPr="00362A50">
        <w:rPr>
          <w:rFonts w:ascii="Bookman Old Style" w:hAnsi="Bookman Old Style"/>
          <w:sz w:val="20"/>
        </w:rPr>
        <w:t xml:space="preserve">z betonu wykonywanego "na mokro", </w:t>
      </w:r>
    </w:p>
    <w:p w14:paraId="0F44009A" w14:textId="77777777" w:rsidR="00D1201F" w:rsidRPr="00362A50" w:rsidRDefault="00D1201F" w:rsidP="00D1201F">
      <w:pPr>
        <w:numPr>
          <w:ilvl w:val="0"/>
          <w:numId w:val="3"/>
        </w:numPr>
        <w:tabs>
          <w:tab w:val="clear" w:pos="720"/>
          <w:tab w:val="num" w:pos="284"/>
          <w:tab w:val="left" w:pos="792"/>
        </w:tabs>
        <w:ind w:hanging="720"/>
        <w:jc w:val="both"/>
        <w:rPr>
          <w:rFonts w:ascii="Bookman Old Style" w:hAnsi="Bookman Old Style"/>
          <w:sz w:val="20"/>
        </w:rPr>
      </w:pPr>
      <w:r w:rsidRPr="00362A50">
        <w:rPr>
          <w:rFonts w:ascii="Bookman Old Style" w:hAnsi="Bookman Old Style"/>
          <w:sz w:val="20"/>
        </w:rPr>
        <w:t xml:space="preserve">inne rozwiązania zaakceptowane przez </w:t>
      </w:r>
      <w:r w:rsidRPr="00362A50">
        <w:rPr>
          <w:rFonts w:ascii="Bookman Old Style" w:hAnsi="Bookman Old Style"/>
          <w:sz w:val="20"/>
          <w:szCs w:val="20"/>
        </w:rPr>
        <w:t>Inżyniera</w:t>
      </w:r>
      <w:r w:rsidRPr="00362A50">
        <w:rPr>
          <w:rFonts w:ascii="Bookman Old Style" w:hAnsi="Bookman Old Style"/>
          <w:sz w:val="20"/>
        </w:rPr>
        <w:t>.</w:t>
      </w:r>
    </w:p>
    <w:p w14:paraId="3ED7CFAA" w14:textId="77777777" w:rsidR="00D1201F" w:rsidRPr="00362A50" w:rsidRDefault="00D1201F" w:rsidP="00D1201F">
      <w:pPr>
        <w:widowControl w:val="0"/>
        <w:numPr>
          <w:ilvl w:val="12"/>
          <w:numId w:val="0"/>
        </w:numPr>
        <w:overflowPunct w:val="0"/>
        <w:autoSpaceDE w:val="0"/>
        <w:autoSpaceDN w:val="0"/>
        <w:adjustRightInd w:val="0"/>
        <w:jc w:val="both"/>
        <w:rPr>
          <w:rFonts w:ascii="Bookman Old Style" w:hAnsi="Bookman Old Style"/>
          <w:sz w:val="20"/>
          <w:szCs w:val="20"/>
        </w:rPr>
      </w:pPr>
      <w:r w:rsidRPr="00362A50">
        <w:rPr>
          <w:rFonts w:ascii="Bookman Old Style" w:hAnsi="Bookman Old Style"/>
          <w:sz w:val="20"/>
        </w:rPr>
        <w:t xml:space="preserve">Klasa betonu C16/20. Beton powinien odpowiadać wymaganiom </w:t>
      </w:r>
      <w:r w:rsidRPr="00362A50">
        <w:rPr>
          <w:rFonts w:ascii="Bookman Old Style" w:hAnsi="Bookman Old Style"/>
          <w:sz w:val="20"/>
          <w:szCs w:val="20"/>
        </w:rPr>
        <w:t xml:space="preserve">PN-EN 206-1[1]. </w:t>
      </w:r>
    </w:p>
    <w:p w14:paraId="78467DAD" w14:textId="77777777" w:rsidR="00D1201F" w:rsidRPr="00362A50" w:rsidRDefault="00D1201F" w:rsidP="00D1201F">
      <w:pPr>
        <w:widowControl w:val="0"/>
        <w:numPr>
          <w:ilvl w:val="12"/>
          <w:numId w:val="0"/>
        </w:numPr>
        <w:overflowPunct w:val="0"/>
        <w:autoSpaceDE w:val="0"/>
        <w:autoSpaceDN w:val="0"/>
        <w:adjustRightInd w:val="0"/>
        <w:jc w:val="both"/>
        <w:rPr>
          <w:rFonts w:ascii="Bookman Old Style" w:hAnsi="Bookman Old Style"/>
          <w:sz w:val="20"/>
          <w:szCs w:val="20"/>
        </w:rPr>
      </w:pPr>
    </w:p>
    <w:p w14:paraId="43505CA5" w14:textId="77777777" w:rsidR="00D1201F" w:rsidRPr="00362A50" w:rsidRDefault="00D1201F" w:rsidP="00D1201F">
      <w:pPr>
        <w:jc w:val="both"/>
        <w:rPr>
          <w:rFonts w:ascii="Bookman Old Style" w:hAnsi="Bookman Old Style"/>
          <w:b/>
          <w:sz w:val="20"/>
        </w:rPr>
      </w:pPr>
      <w:r w:rsidRPr="00362A50">
        <w:rPr>
          <w:rFonts w:ascii="Bookman Old Style" w:hAnsi="Bookman Old Style"/>
          <w:b/>
          <w:sz w:val="20"/>
        </w:rPr>
        <w:t>2.3.1. Cement</w:t>
      </w:r>
    </w:p>
    <w:p w14:paraId="7CFEF716" w14:textId="77777777" w:rsidR="00D1201F" w:rsidRPr="00362A50" w:rsidRDefault="00D1201F" w:rsidP="00D1201F">
      <w:pPr>
        <w:pStyle w:val="tekstost"/>
        <w:tabs>
          <w:tab w:val="left" w:pos="297"/>
        </w:tabs>
        <w:rPr>
          <w:rFonts w:ascii="Bookman Old Style" w:hAnsi="Bookman Old Style"/>
        </w:rPr>
      </w:pPr>
      <w:r w:rsidRPr="00362A50">
        <w:rPr>
          <w:rFonts w:ascii="Bookman Old Style" w:hAnsi="Bookman Old Style"/>
        </w:rPr>
        <w:t>Cement stosowany do betonu powinien być cementem portlandzkim klasy 32.5, odpowiadający wymaganiom PN-EN-197-1 [2]. Zaleca się stosowanie cementu rodzaju CEM I.</w:t>
      </w:r>
    </w:p>
    <w:p w14:paraId="5C59FC54" w14:textId="77777777" w:rsidR="00D1201F" w:rsidRPr="00362A50" w:rsidRDefault="00D1201F" w:rsidP="00D1201F">
      <w:pPr>
        <w:jc w:val="both"/>
        <w:rPr>
          <w:rFonts w:ascii="Bookman Old Style" w:hAnsi="Bookman Old Style"/>
          <w:b/>
          <w:sz w:val="20"/>
        </w:rPr>
      </w:pPr>
      <w:r w:rsidRPr="00362A50">
        <w:rPr>
          <w:rFonts w:ascii="Bookman Old Style" w:hAnsi="Bookman Old Style"/>
          <w:b/>
          <w:sz w:val="20"/>
        </w:rPr>
        <w:t>2.3.2. Kruszywo</w:t>
      </w:r>
    </w:p>
    <w:p w14:paraId="03320DBE" w14:textId="77777777" w:rsidR="00D1201F" w:rsidRPr="00362A50" w:rsidRDefault="00D1201F" w:rsidP="00D1201F">
      <w:pPr>
        <w:pStyle w:val="tekstost"/>
        <w:tabs>
          <w:tab w:val="left" w:pos="297"/>
        </w:tabs>
        <w:rPr>
          <w:rFonts w:ascii="Bookman Old Style" w:hAnsi="Bookman Old Style"/>
        </w:rPr>
      </w:pPr>
      <w:r w:rsidRPr="00362A50">
        <w:rPr>
          <w:rFonts w:ascii="Bookman Old Style" w:hAnsi="Bookman Old Style"/>
        </w:rPr>
        <w:t>Kruszywo stosowane do betonu fundamentów powinno odpowiadać wymaganiom PN-EN 12620.</w:t>
      </w:r>
    </w:p>
    <w:p w14:paraId="3245E2BA" w14:textId="77777777" w:rsidR="00D1201F" w:rsidRPr="00362A50" w:rsidRDefault="00D1201F" w:rsidP="00D1201F">
      <w:pPr>
        <w:jc w:val="both"/>
        <w:rPr>
          <w:rFonts w:ascii="Bookman Old Style" w:hAnsi="Bookman Old Style"/>
          <w:b/>
          <w:sz w:val="20"/>
        </w:rPr>
      </w:pPr>
      <w:r w:rsidRPr="00362A50">
        <w:rPr>
          <w:rFonts w:ascii="Bookman Old Style" w:hAnsi="Bookman Old Style"/>
          <w:b/>
          <w:sz w:val="20"/>
        </w:rPr>
        <w:t>2.3.3. Woda</w:t>
      </w:r>
    </w:p>
    <w:p w14:paraId="3E17D5F6" w14:textId="77777777" w:rsidR="00D1201F" w:rsidRPr="00362A50" w:rsidRDefault="00D1201F" w:rsidP="00D1201F">
      <w:pPr>
        <w:pStyle w:val="tekstost"/>
        <w:tabs>
          <w:tab w:val="left" w:pos="297"/>
        </w:tabs>
        <w:rPr>
          <w:rFonts w:ascii="Bookman Old Style" w:hAnsi="Bookman Old Style"/>
        </w:rPr>
      </w:pPr>
      <w:r w:rsidRPr="00362A50">
        <w:rPr>
          <w:rFonts w:ascii="Bookman Old Style" w:hAnsi="Bookman Old Style"/>
        </w:rPr>
        <w:t>Do betonu fundamentów należy użyć wody pitnej, wodociągowej. Woda ta nie wymaga badań, o których mowa w normie PN-EN 1008 [3].</w:t>
      </w:r>
    </w:p>
    <w:p w14:paraId="3378076C" w14:textId="77777777" w:rsidR="00D1201F" w:rsidRPr="00362A50" w:rsidRDefault="00D1201F" w:rsidP="00D1201F">
      <w:pPr>
        <w:pStyle w:val="tekstost"/>
        <w:tabs>
          <w:tab w:val="left" w:pos="297"/>
        </w:tabs>
        <w:rPr>
          <w:rFonts w:ascii="Bookman Old Style" w:hAnsi="Bookman Old Style"/>
        </w:rPr>
      </w:pPr>
      <w:r w:rsidRPr="00362A50">
        <w:rPr>
          <w:rFonts w:ascii="Bookman Old Style" w:hAnsi="Bookman Old Style"/>
        </w:rPr>
        <w:t>Dopuszcza się użycie naturalnej wody powierzchniowej i ze źródeł podziemnych, jeżeli spełnia wymagania PN-EN 1008.</w:t>
      </w:r>
    </w:p>
    <w:p w14:paraId="1EC197E6" w14:textId="77777777" w:rsidR="00D1201F" w:rsidRPr="00362A50" w:rsidRDefault="00D1201F" w:rsidP="00D1201F">
      <w:pPr>
        <w:jc w:val="both"/>
        <w:rPr>
          <w:rFonts w:ascii="Bookman Old Style" w:hAnsi="Bookman Old Style"/>
          <w:b/>
          <w:sz w:val="20"/>
        </w:rPr>
      </w:pPr>
      <w:r w:rsidRPr="00362A50">
        <w:rPr>
          <w:rFonts w:ascii="Bookman Old Style" w:hAnsi="Bookman Old Style"/>
          <w:b/>
          <w:sz w:val="20"/>
        </w:rPr>
        <w:t>2.3.4. Domieszki chemiczne</w:t>
      </w:r>
    </w:p>
    <w:p w14:paraId="03ED07FC"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 xml:space="preserve">Domieszki chemiczne do betonu powinny być stosowane jeśli przewiduje to Dokumentacja Projektowa, lub wskazania </w:t>
      </w:r>
      <w:r w:rsidRPr="00362A50">
        <w:rPr>
          <w:rFonts w:ascii="Bookman Old Style" w:hAnsi="Bookman Old Style"/>
          <w:sz w:val="20"/>
          <w:szCs w:val="20"/>
        </w:rPr>
        <w:t>Inżyniera</w:t>
      </w:r>
      <w:r w:rsidRPr="00362A50">
        <w:rPr>
          <w:rFonts w:ascii="Bookman Old Style" w:hAnsi="Bookman Old Style"/>
          <w:sz w:val="20"/>
        </w:rPr>
        <w:t>. Domieszki chemiczne powinny odpowiadać wymaganiom normy PN-EN 934-2 [4].</w:t>
      </w:r>
    </w:p>
    <w:p w14:paraId="3757EF37"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W betonie niezbrojonym zaleca się stosować domieszki napowietrzające, a w betonie zbrojonym dodatkowo domieszki uplastyczniające lub upłynniające.</w:t>
      </w:r>
    </w:p>
    <w:p w14:paraId="4380F250"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2.4. Konstrukcje wsporcze</w:t>
      </w:r>
    </w:p>
    <w:p w14:paraId="44DCBF07" w14:textId="77777777" w:rsidR="00D1201F" w:rsidRPr="00362A50" w:rsidRDefault="00D1201F" w:rsidP="00D1201F">
      <w:pPr>
        <w:jc w:val="both"/>
        <w:rPr>
          <w:rFonts w:ascii="Bookman Old Style" w:hAnsi="Bookman Old Style"/>
          <w:sz w:val="20"/>
          <w:szCs w:val="20"/>
        </w:rPr>
      </w:pPr>
      <w:r w:rsidRPr="00362A50">
        <w:rPr>
          <w:rFonts w:ascii="Bookman Old Style" w:hAnsi="Bookman Old Style"/>
          <w:sz w:val="20"/>
          <w:szCs w:val="20"/>
        </w:rPr>
        <w:t>Znaki umocowuje się na konstrukcjach wsporczych, tj. słupkach, ramach, wysięgnikach, wykonanych z materiałów trwałych, z wyjątkiem betonu. Słupki konstrukcji wsporczych powinny mieć przekrój kołowy lub eliptyczny.</w:t>
      </w:r>
    </w:p>
    <w:p w14:paraId="639952D2" w14:textId="77777777" w:rsidR="00D1201F" w:rsidRPr="00362A50" w:rsidRDefault="00D1201F" w:rsidP="00D1201F">
      <w:pPr>
        <w:pStyle w:val="Tekstpodstawowy"/>
        <w:jc w:val="both"/>
        <w:rPr>
          <w:rFonts w:ascii="Bookman Old Style" w:hAnsi="Bookman Old Style"/>
          <w:b w:val="0"/>
          <w:color w:val="auto"/>
          <w:sz w:val="20"/>
        </w:rPr>
      </w:pPr>
      <w:r w:rsidRPr="00362A50">
        <w:rPr>
          <w:rFonts w:ascii="Bookman Old Style" w:hAnsi="Bookman Old Style"/>
          <w:b w:val="0"/>
          <w:color w:val="auto"/>
          <w:sz w:val="20"/>
        </w:rPr>
        <w:t>Konstrukcje wsporcze do znaków i tablic należy zaprojektować i wykonać w sposób gwarantujący stabilne i prawidłowe ustawienie w pasie drogowym, uwzględniając wymagania PN-EN 12899-1[5]</w:t>
      </w:r>
    </w:p>
    <w:p w14:paraId="0C0B35FB" w14:textId="77777777" w:rsidR="00D1201F" w:rsidRPr="00362A50" w:rsidRDefault="00D1201F" w:rsidP="00D1201F">
      <w:pPr>
        <w:pStyle w:val="Tekstpodstawowy"/>
        <w:jc w:val="both"/>
        <w:rPr>
          <w:rFonts w:ascii="Bookman Old Style" w:hAnsi="Bookman Old Style"/>
          <w:color w:val="auto"/>
          <w:sz w:val="20"/>
        </w:rPr>
      </w:pPr>
      <w:r w:rsidRPr="00362A50">
        <w:rPr>
          <w:rFonts w:ascii="Bookman Old Style" w:hAnsi="Bookman Old Style"/>
          <w:b w:val="0"/>
          <w:color w:val="auto"/>
          <w:sz w:val="20"/>
        </w:rPr>
        <w:t xml:space="preserve">Parametry techniczne konstrukcji  uzależnione są  od powierzchni montowanych znaków </w:t>
      </w:r>
      <w:r w:rsidRPr="00362A50">
        <w:rPr>
          <w:rFonts w:ascii="Bookman Old Style" w:hAnsi="Bookman Old Style"/>
          <w:b w:val="0"/>
          <w:color w:val="auto"/>
          <w:sz w:val="20"/>
        </w:rPr>
        <w:br/>
        <w:t xml:space="preserve">i tablic oraz od ilości i sposobu ich usytuowania w terenie. </w:t>
      </w:r>
    </w:p>
    <w:p w14:paraId="2522A30B"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 xml:space="preserve">W przypadku braku wystarczających ustaleń Wykonawca przedstawi do akceptacji </w:t>
      </w:r>
      <w:r w:rsidRPr="00362A50">
        <w:rPr>
          <w:rFonts w:ascii="Bookman Old Style" w:hAnsi="Bookman Old Style"/>
          <w:sz w:val="20"/>
          <w:szCs w:val="20"/>
        </w:rPr>
        <w:t>Inżynierowi</w:t>
      </w:r>
      <w:r w:rsidRPr="00362A50">
        <w:rPr>
          <w:rFonts w:ascii="Bookman Old Style" w:hAnsi="Bookman Old Style"/>
          <w:sz w:val="20"/>
        </w:rPr>
        <w:t xml:space="preserve"> propozycje konstrukcji dostosowanej do wymiarów, znaków i tablic, składających się z:</w:t>
      </w:r>
    </w:p>
    <w:p w14:paraId="3CD5B410"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słupka pojedynczego lub słupków i elementów poziomych,</w:t>
      </w:r>
    </w:p>
    <w:p w14:paraId="6D69A632"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łączników do mocowania elementów konstrukcji lub sposobu połączeń spawanych,</w:t>
      </w:r>
    </w:p>
    <w:p w14:paraId="0919CAF2" w14:textId="77777777" w:rsidR="00D1201F" w:rsidRPr="00362A50" w:rsidRDefault="00D1201F" w:rsidP="00D1201F">
      <w:pPr>
        <w:numPr>
          <w:ilvl w:val="1"/>
          <w:numId w:val="2"/>
        </w:numPr>
        <w:tabs>
          <w:tab w:val="num" w:pos="284"/>
        </w:tabs>
        <w:ind w:left="284" w:hanging="284"/>
        <w:jc w:val="both"/>
        <w:rPr>
          <w:rFonts w:ascii="Bookman Old Style" w:hAnsi="Bookman Old Style"/>
          <w:sz w:val="20"/>
        </w:rPr>
      </w:pPr>
      <w:r w:rsidRPr="00362A50">
        <w:rPr>
          <w:rFonts w:ascii="Bookman Old Style" w:hAnsi="Bookman Old Style"/>
          <w:spacing w:val="-3"/>
          <w:sz w:val="20"/>
        </w:rPr>
        <w:t>połączenia</w:t>
      </w:r>
      <w:r w:rsidRPr="00362A50">
        <w:rPr>
          <w:rFonts w:ascii="Bookman Old Style" w:hAnsi="Bookman Old Style"/>
          <w:sz w:val="20"/>
        </w:rPr>
        <w:t xml:space="preserve"> konstrukcji wsporczej z fundamentem.</w:t>
      </w:r>
    </w:p>
    <w:p w14:paraId="3D8B6647" w14:textId="77777777" w:rsidR="00D1201F" w:rsidRPr="00362A50" w:rsidRDefault="00D1201F" w:rsidP="00D1201F">
      <w:pPr>
        <w:jc w:val="both"/>
        <w:rPr>
          <w:rFonts w:ascii="Bookman Old Style" w:hAnsi="Bookman Old Style"/>
          <w:b/>
          <w:sz w:val="20"/>
        </w:rPr>
      </w:pPr>
      <w:r w:rsidRPr="00362A50">
        <w:rPr>
          <w:rFonts w:ascii="Bookman Old Style" w:hAnsi="Bookman Old Style"/>
          <w:sz w:val="20"/>
          <w:szCs w:val="20"/>
        </w:rPr>
        <w:t>Rury powinny odpowiadać wymaganiom PN-H-74200 [6], lub innej normy zaakceptowanej przez Inżyniera oraz być zgodna z Dokumentacją Projektową.</w:t>
      </w:r>
    </w:p>
    <w:p w14:paraId="27DF8CC2" w14:textId="77777777" w:rsidR="00D1201F" w:rsidRPr="00362A50" w:rsidRDefault="00D1201F" w:rsidP="00D1201F">
      <w:pPr>
        <w:numPr>
          <w:ilvl w:val="12"/>
          <w:numId w:val="0"/>
        </w:numPr>
        <w:overflowPunct w:val="0"/>
        <w:autoSpaceDE w:val="0"/>
        <w:autoSpaceDN w:val="0"/>
        <w:adjustRightInd w:val="0"/>
        <w:jc w:val="both"/>
        <w:rPr>
          <w:rFonts w:ascii="Bookman Old Style" w:hAnsi="Bookman Old Style"/>
          <w:sz w:val="20"/>
          <w:szCs w:val="20"/>
        </w:rPr>
      </w:pPr>
      <w:r w:rsidRPr="00362A50">
        <w:rPr>
          <w:rFonts w:ascii="Bookman Old Style" w:hAnsi="Bookman Old Style"/>
          <w:sz w:val="20"/>
          <w:szCs w:val="20"/>
        </w:rPr>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14:paraId="4627B595" w14:textId="77777777" w:rsidR="00D1201F" w:rsidRPr="00362A50" w:rsidRDefault="00D1201F" w:rsidP="00D1201F">
      <w:pPr>
        <w:numPr>
          <w:ilvl w:val="12"/>
          <w:numId w:val="0"/>
        </w:numPr>
        <w:overflowPunct w:val="0"/>
        <w:autoSpaceDE w:val="0"/>
        <w:autoSpaceDN w:val="0"/>
        <w:adjustRightInd w:val="0"/>
        <w:jc w:val="both"/>
        <w:rPr>
          <w:rFonts w:ascii="Bookman Old Style" w:hAnsi="Bookman Old Style"/>
          <w:sz w:val="20"/>
          <w:szCs w:val="20"/>
        </w:rPr>
      </w:pPr>
      <w:r w:rsidRPr="00362A50">
        <w:rPr>
          <w:rFonts w:ascii="Bookman Old Style" w:hAnsi="Bookman Old Style"/>
          <w:sz w:val="20"/>
          <w:szCs w:val="20"/>
        </w:rPr>
        <w:t>Końce rur powinny być obcięte równo i prostopadle do osi rury.</w:t>
      </w:r>
    </w:p>
    <w:p w14:paraId="7C6DFD6D" w14:textId="77777777" w:rsidR="00D1201F" w:rsidRPr="00362A50" w:rsidRDefault="00D1201F" w:rsidP="00D1201F">
      <w:pPr>
        <w:numPr>
          <w:ilvl w:val="12"/>
          <w:numId w:val="0"/>
        </w:numPr>
        <w:overflowPunct w:val="0"/>
        <w:autoSpaceDE w:val="0"/>
        <w:autoSpaceDN w:val="0"/>
        <w:adjustRightInd w:val="0"/>
        <w:jc w:val="both"/>
        <w:rPr>
          <w:rFonts w:ascii="Bookman Old Style" w:hAnsi="Bookman Old Style"/>
          <w:sz w:val="20"/>
          <w:szCs w:val="20"/>
        </w:rPr>
      </w:pPr>
      <w:r w:rsidRPr="00362A50">
        <w:rPr>
          <w:rFonts w:ascii="Bookman Old Style" w:hAnsi="Bookman Old Style"/>
          <w:sz w:val="20"/>
          <w:szCs w:val="20"/>
        </w:rPr>
        <w:t>Pożądane jest, aby rury były dostarczane o długościach:</w:t>
      </w:r>
    </w:p>
    <w:p w14:paraId="22A038CF"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 xml:space="preserve">dokładnych, zgodnych z zamówieniem; z dopuszczalną odchyłką </w:t>
      </w:r>
      <w:r w:rsidRPr="00362A50">
        <w:rPr>
          <w:rFonts w:ascii="Bookman Old Style" w:hAnsi="Bookman Old Style"/>
          <w:spacing w:val="-3"/>
          <w:sz w:val="20"/>
        </w:rPr>
        <w:sym w:font="Symbol" w:char="00B1"/>
      </w:r>
      <w:r w:rsidRPr="00362A50">
        <w:rPr>
          <w:rFonts w:ascii="Bookman Old Style" w:hAnsi="Bookman Old Style"/>
          <w:spacing w:val="-3"/>
          <w:sz w:val="20"/>
        </w:rPr>
        <w:t>10 mm,</w:t>
      </w:r>
    </w:p>
    <w:p w14:paraId="77B01A90" w14:textId="77777777" w:rsidR="00D1201F" w:rsidRPr="00362A50" w:rsidRDefault="00D1201F" w:rsidP="00D1201F">
      <w:pPr>
        <w:numPr>
          <w:ilvl w:val="1"/>
          <w:numId w:val="2"/>
        </w:numPr>
        <w:tabs>
          <w:tab w:val="num" w:pos="284"/>
        </w:tabs>
        <w:ind w:left="284" w:hanging="284"/>
        <w:jc w:val="both"/>
        <w:rPr>
          <w:rFonts w:ascii="Bookman Old Style" w:hAnsi="Bookman Old Style"/>
          <w:sz w:val="20"/>
          <w:szCs w:val="20"/>
        </w:rPr>
      </w:pPr>
      <w:r w:rsidRPr="00362A50">
        <w:rPr>
          <w:rFonts w:ascii="Bookman Old Style" w:hAnsi="Bookman Old Style"/>
          <w:spacing w:val="-3"/>
          <w:sz w:val="20"/>
        </w:rPr>
        <w:t>wielokrotnych w stosunku do zamówionych długości dokładnych poniżej 3 m z naddatkiem 5 mm na każde</w:t>
      </w:r>
      <w:r w:rsidRPr="00362A50">
        <w:rPr>
          <w:rFonts w:ascii="Bookman Old Style" w:hAnsi="Bookman Old Style"/>
          <w:sz w:val="20"/>
          <w:szCs w:val="20"/>
        </w:rPr>
        <w:t xml:space="preserve"> cięcie i z dopuszczalną odchyłką dla całej długości wielokrotnej, jak dla długości dokładnych.</w:t>
      </w:r>
    </w:p>
    <w:p w14:paraId="39F7FD73" w14:textId="77777777" w:rsidR="00D1201F" w:rsidRPr="00362A50" w:rsidRDefault="00D1201F" w:rsidP="00D1201F">
      <w:pPr>
        <w:overflowPunct w:val="0"/>
        <w:autoSpaceDE w:val="0"/>
        <w:autoSpaceDN w:val="0"/>
        <w:adjustRightInd w:val="0"/>
        <w:jc w:val="both"/>
        <w:rPr>
          <w:rFonts w:ascii="Bookman Old Style" w:hAnsi="Bookman Old Style"/>
          <w:sz w:val="20"/>
          <w:szCs w:val="20"/>
        </w:rPr>
      </w:pPr>
      <w:r w:rsidRPr="00362A50">
        <w:rPr>
          <w:rFonts w:ascii="Bookman Old Style" w:hAnsi="Bookman Old Style"/>
          <w:sz w:val="20"/>
          <w:szCs w:val="20"/>
        </w:rPr>
        <w:t>Rury powinny być proste. Dopuszczalna miejscowa krzywizna nie powinna przekraczać 1,5 mm na 1 m długości rury.</w:t>
      </w:r>
    </w:p>
    <w:p w14:paraId="79C2F76C" w14:textId="77777777" w:rsidR="00D1201F" w:rsidRPr="00362A50" w:rsidRDefault="00D1201F" w:rsidP="00D1201F">
      <w:pPr>
        <w:overflowPunct w:val="0"/>
        <w:autoSpaceDE w:val="0"/>
        <w:autoSpaceDN w:val="0"/>
        <w:adjustRightInd w:val="0"/>
        <w:jc w:val="both"/>
        <w:rPr>
          <w:rFonts w:ascii="Bookman Old Style" w:hAnsi="Bookman Old Style"/>
          <w:sz w:val="20"/>
          <w:szCs w:val="20"/>
        </w:rPr>
      </w:pPr>
      <w:r w:rsidRPr="00362A50">
        <w:rPr>
          <w:rFonts w:ascii="Bookman Old Style" w:hAnsi="Bookman Old Style"/>
          <w:sz w:val="20"/>
          <w:szCs w:val="20"/>
        </w:rPr>
        <w:t xml:space="preserve">Do wykonania słupków należy użyć słupków stalowych ocynkowanych ogniowo dla znaków drogowych spełniających wymagania PN-EN </w:t>
      </w:r>
      <w:r w:rsidRPr="00362A50">
        <w:rPr>
          <w:rFonts w:ascii="Bookman Old Style" w:hAnsi="Bookman Old Style"/>
          <w:sz w:val="20"/>
        </w:rPr>
        <w:t>12767</w:t>
      </w:r>
      <w:r w:rsidRPr="00362A50">
        <w:rPr>
          <w:rFonts w:ascii="Bookman Old Style" w:hAnsi="Bookman Old Style"/>
          <w:sz w:val="20"/>
          <w:szCs w:val="20"/>
        </w:rPr>
        <w:t xml:space="preserve"> [7]. </w:t>
      </w:r>
    </w:p>
    <w:p w14:paraId="479AD17C" w14:textId="77777777" w:rsidR="00D1201F" w:rsidRPr="00362A50" w:rsidRDefault="00D1201F" w:rsidP="00D1201F">
      <w:pPr>
        <w:overflowPunct w:val="0"/>
        <w:autoSpaceDE w:val="0"/>
        <w:autoSpaceDN w:val="0"/>
        <w:adjustRightInd w:val="0"/>
        <w:jc w:val="both"/>
        <w:rPr>
          <w:rFonts w:ascii="Bookman Old Style" w:hAnsi="Bookman Old Style"/>
          <w:sz w:val="20"/>
          <w:szCs w:val="20"/>
        </w:rPr>
      </w:pPr>
      <w:r w:rsidRPr="00362A50">
        <w:rPr>
          <w:rFonts w:ascii="Bookman Old Style" w:hAnsi="Bookman Old Style"/>
          <w:sz w:val="20"/>
          <w:szCs w:val="20"/>
        </w:rPr>
        <w:t xml:space="preserve">Rury powinny być dostarczone bez opakowania w wiązkach lub luzem względnie </w:t>
      </w:r>
      <w:r w:rsidRPr="00362A50">
        <w:rPr>
          <w:rFonts w:ascii="Bookman Old Style" w:hAnsi="Bookman Old Style"/>
          <w:sz w:val="20"/>
          <w:szCs w:val="20"/>
        </w:rPr>
        <w:br/>
        <w:t>w opakowaniu uzgodnionym z Zamawiającym. Rury powinny być cechowane indywidualnie lub na przywieszkach metalowych.</w:t>
      </w:r>
    </w:p>
    <w:p w14:paraId="19636794" w14:textId="77777777" w:rsidR="00D1201F" w:rsidRPr="00362A50" w:rsidRDefault="00D1201F" w:rsidP="00D1201F">
      <w:pPr>
        <w:overflowPunct w:val="0"/>
        <w:autoSpaceDE w:val="0"/>
        <w:autoSpaceDN w:val="0"/>
        <w:adjustRightInd w:val="0"/>
        <w:jc w:val="both"/>
        <w:rPr>
          <w:rFonts w:ascii="Bookman Old Style" w:hAnsi="Bookman Old Style"/>
          <w:sz w:val="20"/>
          <w:szCs w:val="20"/>
        </w:rPr>
      </w:pPr>
      <w:r w:rsidRPr="00362A50">
        <w:rPr>
          <w:rFonts w:ascii="Bookman Old Style" w:hAnsi="Bookman Old Style"/>
          <w:sz w:val="20"/>
          <w:szCs w:val="20"/>
        </w:rPr>
        <w:t>Grubość warstwy powłoki cynkowej na rurze stalowej ocynkowanej Ø60 nie może być mniejsza niż 60</w:t>
      </w:r>
      <w:r w:rsidRPr="00362A50">
        <w:rPr>
          <w:rFonts w:ascii="Bookman Old Style" w:hAnsi="Bookman Old Style"/>
          <w:sz w:val="20"/>
          <w:szCs w:val="20"/>
        </w:rPr>
        <w:sym w:font="Symbol" w:char="006D"/>
      </w:r>
      <w:r w:rsidRPr="00362A50">
        <w:rPr>
          <w:rFonts w:ascii="Bookman Old Style" w:hAnsi="Bookman Old Style"/>
          <w:sz w:val="20"/>
          <w:szCs w:val="20"/>
        </w:rPr>
        <w:t>m i powinna spełniać normy PN-EN ISO 1461 [8] i PN-EN 10240 [9].</w:t>
      </w:r>
    </w:p>
    <w:p w14:paraId="158950F7"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2.5. Tarcza znaku</w:t>
      </w:r>
    </w:p>
    <w:p w14:paraId="4FF3D00C" w14:textId="77777777" w:rsidR="00D1201F" w:rsidRPr="00362A50" w:rsidRDefault="00D1201F" w:rsidP="00D1201F">
      <w:pPr>
        <w:jc w:val="both"/>
        <w:rPr>
          <w:rFonts w:ascii="Bookman Old Style" w:hAnsi="Bookman Old Style"/>
          <w:b/>
          <w:sz w:val="20"/>
        </w:rPr>
      </w:pPr>
      <w:r w:rsidRPr="00362A50">
        <w:rPr>
          <w:rFonts w:ascii="Bookman Old Style" w:hAnsi="Bookman Old Style"/>
          <w:b/>
          <w:sz w:val="20"/>
        </w:rPr>
        <w:t>2.5.1. Trwałość materiałów na wpływy zewnętrzne</w:t>
      </w:r>
    </w:p>
    <w:p w14:paraId="57813EAA" w14:textId="77777777" w:rsidR="00D1201F" w:rsidRPr="00362A50" w:rsidRDefault="00D1201F" w:rsidP="00D1201F">
      <w:pPr>
        <w:pStyle w:val="StandardowytekstZnak"/>
        <w:rPr>
          <w:rFonts w:ascii="Bookman Old Style" w:hAnsi="Bookman Old Style"/>
        </w:rPr>
      </w:pPr>
      <w:r w:rsidRPr="00362A50">
        <w:rPr>
          <w:rFonts w:ascii="Bookman Old Style" w:hAnsi="Bookman Old Style"/>
        </w:rPr>
        <w:t xml:space="preserve">Materiały użyte na lico i tarczę znaku oraz połączenie lica znaku z tarczą znaku, a także sposób wykończenia znaku, muszą wykazywać pełną odporność na oddziaływanie światła, zmian temperatury, wpływy atmosferyczne i występujące w normalnych warunkach </w:t>
      </w:r>
      <w:r w:rsidRPr="00362A50">
        <w:rPr>
          <w:rFonts w:ascii="Bookman Old Style" w:hAnsi="Bookman Old Style"/>
        </w:rPr>
        <w:lastRenderedPageBreak/>
        <w:t>oddziaływania chemiczne (w tym korozję elektrochemiczną) – przez cały czas trwałości znaku, określony przez wytwórcę lub dostawcę.</w:t>
      </w:r>
    </w:p>
    <w:p w14:paraId="144DE597" w14:textId="77777777" w:rsidR="00D1201F" w:rsidRPr="00362A50" w:rsidRDefault="00D1201F" w:rsidP="00D1201F">
      <w:pPr>
        <w:keepNext/>
        <w:keepLines/>
        <w:tabs>
          <w:tab w:val="left" w:pos="1521"/>
        </w:tabs>
        <w:jc w:val="both"/>
        <w:rPr>
          <w:rFonts w:ascii="Bookman Old Style" w:hAnsi="Bookman Old Style"/>
          <w:b/>
          <w:sz w:val="20"/>
        </w:rPr>
      </w:pPr>
      <w:r w:rsidRPr="00362A50">
        <w:rPr>
          <w:rFonts w:ascii="Bookman Old Style" w:hAnsi="Bookman Old Style"/>
          <w:b/>
          <w:sz w:val="20"/>
        </w:rPr>
        <w:t>2.5.2. Warunki gwarancyjne producenta lub dostawcy znaku</w:t>
      </w:r>
    </w:p>
    <w:p w14:paraId="0B6D7F91" w14:textId="77777777" w:rsidR="00D1201F" w:rsidRPr="00362A50" w:rsidRDefault="00D1201F" w:rsidP="00D1201F">
      <w:pPr>
        <w:keepNext/>
        <w:keepLines/>
        <w:tabs>
          <w:tab w:val="left" w:pos="297"/>
        </w:tabs>
        <w:jc w:val="both"/>
        <w:rPr>
          <w:rFonts w:ascii="Bookman Old Style" w:hAnsi="Bookman Old Style"/>
          <w:sz w:val="20"/>
        </w:rPr>
      </w:pPr>
      <w:r w:rsidRPr="00362A50">
        <w:rPr>
          <w:rFonts w:ascii="Bookman Old Style" w:hAnsi="Bookman Old Style"/>
          <w:sz w:val="20"/>
        </w:rPr>
        <w:t>Producent lub dostawca znaku obowiązany jest przy dostawie określić trwałość znaku oraz warunki gwarancyjne dla znaku. a także udostępnić na życzenie odbiorcy:</w:t>
      </w:r>
    </w:p>
    <w:p w14:paraId="02C38983"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instrukcje montażu znaku,</w:t>
      </w:r>
    </w:p>
    <w:p w14:paraId="227F2408"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 xml:space="preserve">dane szczegółowe o ewentualnych ograniczeniach w stosowaniu znaku, </w:t>
      </w:r>
    </w:p>
    <w:p w14:paraId="02961EA7" w14:textId="77777777" w:rsidR="00D1201F" w:rsidRPr="00362A50" w:rsidRDefault="00D1201F" w:rsidP="00D1201F">
      <w:pPr>
        <w:numPr>
          <w:ilvl w:val="1"/>
          <w:numId w:val="2"/>
        </w:numPr>
        <w:tabs>
          <w:tab w:val="num" w:pos="284"/>
        </w:tabs>
        <w:ind w:left="284" w:hanging="284"/>
        <w:jc w:val="both"/>
        <w:rPr>
          <w:rFonts w:ascii="Bookman Old Style" w:hAnsi="Bookman Old Style"/>
          <w:sz w:val="20"/>
        </w:rPr>
      </w:pPr>
      <w:r w:rsidRPr="00362A50">
        <w:rPr>
          <w:rFonts w:ascii="Bookman Old Style" w:hAnsi="Bookman Old Style"/>
          <w:spacing w:val="-3"/>
          <w:sz w:val="20"/>
        </w:rPr>
        <w:t>instrukcję</w:t>
      </w:r>
      <w:r w:rsidRPr="00362A50">
        <w:rPr>
          <w:rFonts w:ascii="Bookman Old Style" w:hAnsi="Bookman Old Style"/>
          <w:sz w:val="20"/>
        </w:rPr>
        <w:t xml:space="preserve"> utrzymania znaku.</w:t>
      </w:r>
    </w:p>
    <w:p w14:paraId="5422ABAF" w14:textId="77777777" w:rsidR="00D1201F" w:rsidRPr="00362A50" w:rsidRDefault="00D1201F" w:rsidP="00D1201F">
      <w:pPr>
        <w:jc w:val="both"/>
        <w:rPr>
          <w:rFonts w:ascii="Bookman Old Style" w:hAnsi="Bookman Old Style"/>
          <w:b/>
          <w:sz w:val="20"/>
        </w:rPr>
      </w:pPr>
      <w:r w:rsidRPr="00362A50">
        <w:rPr>
          <w:rFonts w:ascii="Bookman Old Style" w:hAnsi="Bookman Old Style"/>
          <w:b/>
          <w:sz w:val="20"/>
        </w:rPr>
        <w:t>2.5.3. Materiały do wykonania tarczy znaku</w:t>
      </w:r>
    </w:p>
    <w:p w14:paraId="51212933" w14:textId="77777777" w:rsidR="00D1201F" w:rsidRPr="00362A50" w:rsidRDefault="00D1201F" w:rsidP="00D1201F">
      <w:pPr>
        <w:tabs>
          <w:tab w:val="left" w:pos="345"/>
        </w:tabs>
        <w:jc w:val="both"/>
        <w:rPr>
          <w:rFonts w:ascii="Bookman Old Style" w:hAnsi="Bookman Old Style"/>
          <w:sz w:val="20"/>
        </w:rPr>
      </w:pPr>
      <w:r w:rsidRPr="00362A50">
        <w:rPr>
          <w:rFonts w:ascii="Bookman Old Style" w:hAnsi="Bookman Old Style"/>
          <w:sz w:val="20"/>
        </w:rPr>
        <w:t>Materiałami stosowanymi do wykonania tarczy znaku drogowego ma być z blachy ocynkowanej ogniowo wg PN-EN 10346 [10].</w:t>
      </w:r>
    </w:p>
    <w:p w14:paraId="00366518" w14:textId="77777777" w:rsidR="00D1201F" w:rsidRPr="00362A50" w:rsidRDefault="00D1201F" w:rsidP="00D1201F">
      <w:pPr>
        <w:widowControl w:val="0"/>
        <w:tabs>
          <w:tab w:val="left" w:pos="0"/>
          <w:tab w:val="left" w:pos="426"/>
          <w:tab w:val="left" w:pos="708"/>
        </w:tabs>
        <w:overflowPunct w:val="0"/>
        <w:autoSpaceDE w:val="0"/>
        <w:autoSpaceDN w:val="0"/>
        <w:adjustRightInd w:val="0"/>
        <w:jc w:val="both"/>
        <w:rPr>
          <w:rFonts w:ascii="Bookman Old Style" w:hAnsi="Bookman Old Style"/>
          <w:sz w:val="20"/>
          <w:szCs w:val="20"/>
        </w:rPr>
      </w:pPr>
      <w:r w:rsidRPr="00362A50">
        <w:rPr>
          <w:rFonts w:ascii="Bookman Old Style" w:hAnsi="Bookman Old Style"/>
          <w:sz w:val="20"/>
          <w:szCs w:val="20"/>
        </w:rPr>
        <w:t xml:space="preserve">Grubość warstwy powłoki cynkowej na blasze stalowej ocynkowanej ogniowo nie może być mniejsza niż 28 </w:t>
      </w:r>
      <w:r w:rsidRPr="00362A50">
        <w:rPr>
          <w:rFonts w:ascii="Bookman Old Style" w:hAnsi="Bookman Old Style"/>
          <w:sz w:val="20"/>
          <w:szCs w:val="20"/>
        </w:rPr>
        <w:sym w:font="Symbol" w:char="006D"/>
      </w:r>
      <w:r w:rsidRPr="00362A50">
        <w:rPr>
          <w:rFonts w:ascii="Bookman Old Style" w:hAnsi="Bookman Old Style"/>
          <w:sz w:val="20"/>
          <w:szCs w:val="20"/>
        </w:rPr>
        <w:t>m (200 g Zn/m</w:t>
      </w:r>
      <w:r w:rsidRPr="00362A50">
        <w:rPr>
          <w:rFonts w:ascii="Bookman Old Style" w:hAnsi="Bookman Old Style"/>
          <w:sz w:val="20"/>
          <w:szCs w:val="20"/>
          <w:vertAlign w:val="superscript"/>
        </w:rPr>
        <w:t>2</w:t>
      </w:r>
      <w:r w:rsidRPr="00362A50">
        <w:rPr>
          <w:rFonts w:ascii="Bookman Old Style" w:hAnsi="Bookman Old Style"/>
          <w:sz w:val="20"/>
          <w:szCs w:val="20"/>
        </w:rPr>
        <w:t>).</w:t>
      </w:r>
    </w:p>
    <w:p w14:paraId="41D0FBD9" w14:textId="77777777" w:rsidR="00D1201F" w:rsidRPr="00362A50" w:rsidRDefault="00D1201F" w:rsidP="00D1201F">
      <w:pPr>
        <w:keepNext/>
        <w:keepLines/>
        <w:tabs>
          <w:tab w:val="left" w:pos="297"/>
        </w:tabs>
        <w:jc w:val="both"/>
        <w:rPr>
          <w:rFonts w:ascii="Bookman Old Style" w:hAnsi="Bookman Old Style"/>
          <w:sz w:val="20"/>
        </w:rPr>
      </w:pPr>
      <w:r w:rsidRPr="00362A50">
        <w:rPr>
          <w:rFonts w:ascii="Bookman Old Style" w:hAnsi="Bookman Old Style"/>
          <w:sz w:val="20"/>
        </w:rPr>
        <w:t>Znaki i tablice powinny spełniać następujące wymagania podane w tablicy 1.</w:t>
      </w:r>
    </w:p>
    <w:p w14:paraId="095A7B2B" w14:textId="77777777" w:rsidR="00D1201F" w:rsidRPr="00362A50" w:rsidRDefault="00D1201F" w:rsidP="00D1201F">
      <w:pPr>
        <w:pStyle w:val="Tekstpodstawowy3"/>
        <w:spacing w:before="120"/>
        <w:rPr>
          <w:rFonts w:ascii="Bookman Old Style" w:hAnsi="Bookman Old Style"/>
          <w:b/>
          <w:sz w:val="20"/>
        </w:rPr>
      </w:pPr>
    </w:p>
    <w:p w14:paraId="6F33DF7C" w14:textId="77777777" w:rsidR="00D1201F" w:rsidRPr="00362A50" w:rsidRDefault="00D1201F" w:rsidP="00D1201F">
      <w:pPr>
        <w:pStyle w:val="Tekstpodstawowy3"/>
        <w:rPr>
          <w:rFonts w:ascii="Bookman Old Style" w:hAnsi="Bookman Old Style"/>
          <w:sz w:val="20"/>
        </w:rPr>
      </w:pPr>
      <w:r w:rsidRPr="00362A50">
        <w:rPr>
          <w:rFonts w:ascii="Bookman Old Style" w:hAnsi="Bookman Old Style"/>
          <w:b/>
          <w:sz w:val="20"/>
        </w:rPr>
        <w:t>Tablica 1.</w:t>
      </w:r>
      <w:r w:rsidRPr="00362A50">
        <w:rPr>
          <w:rFonts w:ascii="Bookman Old Style" w:hAnsi="Bookman Old Style"/>
          <w:sz w:val="20"/>
        </w:rPr>
        <w:t xml:space="preserve"> Wymagania dla znaków i tarcz znaków drogowych</w:t>
      </w:r>
    </w:p>
    <w:tbl>
      <w:tblPr>
        <w:tblW w:w="907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63"/>
        <w:gridCol w:w="1506"/>
        <w:gridCol w:w="3337"/>
        <w:gridCol w:w="2166"/>
      </w:tblGrid>
      <w:tr w:rsidR="00D1201F" w:rsidRPr="00362A50" w14:paraId="62CAB4D9" w14:textId="77777777" w:rsidTr="00E37152">
        <w:trPr>
          <w:trHeight w:val="453"/>
          <w:tblHeader/>
        </w:trPr>
        <w:tc>
          <w:tcPr>
            <w:tcW w:w="2063" w:type="dxa"/>
            <w:tcBorders>
              <w:top w:val="single" w:sz="6" w:space="0" w:color="auto"/>
              <w:left w:val="single" w:sz="6" w:space="0" w:color="auto"/>
              <w:bottom w:val="single" w:sz="6" w:space="0" w:color="auto"/>
              <w:right w:val="single" w:sz="6" w:space="0" w:color="auto"/>
            </w:tcBorders>
            <w:vAlign w:val="center"/>
          </w:tcPr>
          <w:p w14:paraId="34118119" w14:textId="77777777" w:rsidR="00D1201F" w:rsidRPr="00362A50" w:rsidRDefault="00D1201F" w:rsidP="00E37152">
            <w:pPr>
              <w:pStyle w:val="Tekstpodstawowy3"/>
              <w:rPr>
                <w:rFonts w:ascii="Bookman Old Style" w:hAnsi="Bookman Old Style"/>
                <w:b/>
                <w:sz w:val="20"/>
              </w:rPr>
            </w:pPr>
            <w:r w:rsidRPr="00362A50">
              <w:rPr>
                <w:rFonts w:ascii="Bookman Old Style" w:hAnsi="Bookman Old Style"/>
                <w:b/>
                <w:sz w:val="20"/>
              </w:rPr>
              <w:t>Parametr</w:t>
            </w:r>
          </w:p>
        </w:tc>
        <w:tc>
          <w:tcPr>
            <w:tcW w:w="1506" w:type="dxa"/>
            <w:tcBorders>
              <w:top w:val="single" w:sz="6" w:space="0" w:color="auto"/>
              <w:left w:val="single" w:sz="6" w:space="0" w:color="auto"/>
              <w:bottom w:val="single" w:sz="6" w:space="0" w:color="auto"/>
              <w:right w:val="single" w:sz="6" w:space="0" w:color="auto"/>
            </w:tcBorders>
            <w:vAlign w:val="center"/>
          </w:tcPr>
          <w:p w14:paraId="1E926909" w14:textId="77777777" w:rsidR="00D1201F" w:rsidRPr="00362A50" w:rsidRDefault="00D1201F" w:rsidP="00E37152">
            <w:pPr>
              <w:pStyle w:val="Tekstpodstawowy3"/>
              <w:rPr>
                <w:rFonts w:ascii="Bookman Old Style" w:hAnsi="Bookman Old Style"/>
                <w:b/>
                <w:sz w:val="20"/>
              </w:rPr>
            </w:pPr>
            <w:r w:rsidRPr="00362A50">
              <w:rPr>
                <w:rFonts w:ascii="Bookman Old Style" w:hAnsi="Bookman Old Style"/>
                <w:b/>
                <w:sz w:val="20"/>
              </w:rPr>
              <w:t>Jednostka</w:t>
            </w:r>
          </w:p>
        </w:tc>
        <w:tc>
          <w:tcPr>
            <w:tcW w:w="3337" w:type="dxa"/>
            <w:tcBorders>
              <w:top w:val="single" w:sz="6" w:space="0" w:color="auto"/>
              <w:left w:val="single" w:sz="6" w:space="0" w:color="auto"/>
              <w:bottom w:val="single" w:sz="6" w:space="0" w:color="auto"/>
              <w:right w:val="single" w:sz="6" w:space="0" w:color="auto"/>
            </w:tcBorders>
            <w:vAlign w:val="center"/>
          </w:tcPr>
          <w:p w14:paraId="71D446A6" w14:textId="77777777" w:rsidR="00D1201F" w:rsidRPr="00362A50" w:rsidRDefault="00D1201F" w:rsidP="00E37152">
            <w:pPr>
              <w:pStyle w:val="Tekstpodstawowy3"/>
              <w:rPr>
                <w:rFonts w:ascii="Bookman Old Style" w:hAnsi="Bookman Old Style"/>
                <w:b/>
                <w:sz w:val="20"/>
              </w:rPr>
            </w:pPr>
            <w:r w:rsidRPr="00362A50">
              <w:rPr>
                <w:rFonts w:ascii="Bookman Old Style" w:hAnsi="Bookman Old Style"/>
                <w:b/>
                <w:sz w:val="20"/>
              </w:rPr>
              <w:t>Wymaganie</w:t>
            </w:r>
          </w:p>
        </w:tc>
        <w:tc>
          <w:tcPr>
            <w:tcW w:w="2166" w:type="dxa"/>
            <w:tcBorders>
              <w:top w:val="single" w:sz="6" w:space="0" w:color="auto"/>
              <w:left w:val="single" w:sz="6" w:space="0" w:color="auto"/>
              <w:bottom w:val="single" w:sz="6" w:space="0" w:color="auto"/>
              <w:right w:val="single" w:sz="6" w:space="0" w:color="auto"/>
            </w:tcBorders>
            <w:vAlign w:val="center"/>
          </w:tcPr>
          <w:p w14:paraId="77A739F9" w14:textId="77777777" w:rsidR="00D1201F" w:rsidRPr="00362A50" w:rsidRDefault="00D1201F" w:rsidP="00E37152">
            <w:pPr>
              <w:pStyle w:val="Tekstpodstawowy3"/>
              <w:rPr>
                <w:rFonts w:ascii="Bookman Old Style" w:hAnsi="Bookman Old Style"/>
                <w:b/>
                <w:sz w:val="20"/>
              </w:rPr>
            </w:pPr>
            <w:r w:rsidRPr="00362A50">
              <w:rPr>
                <w:rFonts w:ascii="Bookman Old Style" w:hAnsi="Bookman Old Style"/>
                <w:b/>
                <w:sz w:val="20"/>
              </w:rPr>
              <w:t>Klasa wg</w:t>
            </w:r>
          </w:p>
          <w:p w14:paraId="65680668" w14:textId="77777777" w:rsidR="00D1201F" w:rsidRPr="00362A50" w:rsidRDefault="00D1201F" w:rsidP="00E37152">
            <w:pPr>
              <w:pStyle w:val="Tekstpodstawowy3"/>
              <w:rPr>
                <w:rFonts w:ascii="Bookman Old Style" w:hAnsi="Bookman Old Style"/>
                <w:b/>
                <w:sz w:val="20"/>
              </w:rPr>
            </w:pPr>
            <w:r w:rsidRPr="00362A50">
              <w:rPr>
                <w:rFonts w:ascii="Bookman Old Style" w:hAnsi="Bookman Old Style"/>
                <w:b/>
                <w:sz w:val="20"/>
              </w:rPr>
              <w:t>PN-EN-12899-1 [5]</w:t>
            </w:r>
          </w:p>
        </w:tc>
      </w:tr>
      <w:tr w:rsidR="00D1201F" w:rsidRPr="00362A50" w14:paraId="4B97AA46" w14:textId="77777777" w:rsidTr="00E37152">
        <w:trPr>
          <w:trHeight w:val="680"/>
        </w:trPr>
        <w:tc>
          <w:tcPr>
            <w:tcW w:w="2063" w:type="dxa"/>
            <w:tcBorders>
              <w:top w:val="single" w:sz="6" w:space="0" w:color="auto"/>
              <w:left w:val="single" w:sz="6" w:space="0" w:color="auto"/>
              <w:bottom w:val="single" w:sz="6" w:space="0" w:color="auto"/>
              <w:right w:val="single" w:sz="6" w:space="0" w:color="auto"/>
            </w:tcBorders>
            <w:vAlign w:val="center"/>
          </w:tcPr>
          <w:p w14:paraId="1588C658"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Wytrzymałość na obciążenie siłą naporu wiatru</w:t>
            </w:r>
          </w:p>
        </w:tc>
        <w:tc>
          <w:tcPr>
            <w:tcW w:w="1506" w:type="dxa"/>
            <w:tcBorders>
              <w:top w:val="single" w:sz="6" w:space="0" w:color="auto"/>
              <w:left w:val="single" w:sz="6" w:space="0" w:color="auto"/>
              <w:bottom w:val="single" w:sz="6" w:space="0" w:color="auto"/>
              <w:right w:val="single" w:sz="6" w:space="0" w:color="auto"/>
            </w:tcBorders>
            <w:vAlign w:val="center"/>
          </w:tcPr>
          <w:p w14:paraId="3B2DEBD2"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kN m-2</w:t>
            </w:r>
          </w:p>
        </w:tc>
        <w:tc>
          <w:tcPr>
            <w:tcW w:w="3337" w:type="dxa"/>
            <w:tcBorders>
              <w:top w:val="single" w:sz="6" w:space="0" w:color="auto"/>
              <w:left w:val="single" w:sz="6" w:space="0" w:color="auto"/>
              <w:bottom w:val="single" w:sz="6" w:space="0" w:color="auto"/>
              <w:right w:val="single" w:sz="6" w:space="0" w:color="auto"/>
            </w:tcBorders>
            <w:vAlign w:val="center"/>
          </w:tcPr>
          <w:p w14:paraId="6BBCA690"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sym w:font="Symbol" w:char="00B3"/>
            </w:r>
            <w:r w:rsidRPr="00362A50">
              <w:rPr>
                <w:rFonts w:ascii="Bookman Old Style" w:hAnsi="Bookman Old Style"/>
                <w:sz w:val="20"/>
              </w:rPr>
              <w:t xml:space="preserve"> 0,60</w:t>
            </w:r>
          </w:p>
        </w:tc>
        <w:tc>
          <w:tcPr>
            <w:tcW w:w="2166" w:type="dxa"/>
            <w:tcBorders>
              <w:top w:val="single" w:sz="6" w:space="0" w:color="auto"/>
              <w:left w:val="single" w:sz="6" w:space="0" w:color="auto"/>
              <w:bottom w:val="single" w:sz="6" w:space="0" w:color="auto"/>
              <w:right w:val="single" w:sz="6" w:space="0" w:color="auto"/>
            </w:tcBorders>
            <w:vAlign w:val="center"/>
          </w:tcPr>
          <w:p w14:paraId="3F4EC2E5"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WL2</w:t>
            </w:r>
          </w:p>
        </w:tc>
      </w:tr>
      <w:tr w:rsidR="00D1201F" w:rsidRPr="00362A50" w14:paraId="3557E8DD" w14:textId="77777777" w:rsidTr="00E37152">
        <w:trPr>
          <w:trHeight w:val="453"/>
        </w:trPr>
        <w:tc>
          <w:tcPr>
            <w:tcW w:w="2063" w:type="dxa"/>
            <w:tcBorders>
              <w:top w:val="single" w:sz="6" w:space="0" w:color="auto"/>
              <w:left w:val="single" w:sz="6" w:space="0" w:color="auto"/>
              <w:bottom w:val="single" w:sz="6" w:space="0" w:color="auto"/>
              <w:right w:val="single" w:sz="6" w:space="0" w:color="auto"/>
            </w:tcBorders>
            <w:vAlign w:val="center"/>
          </w:tcPr>
          <w:p w14:paraId="146C2C87"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Wytrzymałość na obciążenie skupione</w:t>
            </w:r>
          </w:p>
        </w:tc>
        <w:tc>
          <w:tcPr>
            <w:tcW w:w="1506" w:type="dxa"/>
            <w:tcBorders>
              <w:top w:val="single" w:sz="6" w:space="0" w:color="auto"/>
              <w:left w:val="single" w:sz="6" w:space="0" w:color="auto"/>
              <w:bottom w:val="single" w:sz="6" w:space="0" w:color="auto"/>
              <w:right w:val="single" w:sz="6" w:space="0" w:color="auto"/>
            </w:tcBorders>
            <w:vAlign w:val="center"/>
          </w:tcPr>
          <w:p w14:paraId="14F4FC81"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kN</w:t>
            </w:r>
          </w:p>
        </w:tc>
        <w:tc>
          <w:tcPr>
            <w:tcW w:w="3337" w:type="dxa"/>
            <w:tcBorders>
              <w:top w:val="single" w:sz="6" w:space="0" w:color="auto"/>
              <w:left w:val="single" w:sz="6" w:space="0" w:color="auto"/>
              <w:bottom w:val="single" w:sz="6" w:space="0" w:color="auto"/>
              <w:right w:val="single" w:sz="6" w:space="0" w:color="auto"/>
            </w:tcBorders>
            <w:vAlign w:val="center"/>
          </w:tcPr>
          <w:p w14:paraId="1587A2F4"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sym w:font="Symbol" w:char="00B3"/>
            </w:r>
            <w:r w:rsidRPr="00362A50">
              <w:rPr>
                <w:rFonts w:ascii="Bookman Old Style" w:hAnsi="Bookman Old Style"/>
                <w:sz w:val="20"/>
              </w:rPr>
              <w:t xml:space="preserve"> 0,50</w:t>
            </w:r>
          </w:p>
        </w:tc>
        <w:tc>
          <w:tcPr>
            <w:tcW w:w="2166" w:type="dxa"/>
            <w:tcBorders>
              <w:top w:val="single" w:sz="6" w:space="0" w:color="auto"/>
              <w:left w:val="single" w:sz="6" w:space="0" w:color="auto"/>
              <w:bottom w:val="single" w:sz="6" w:space="0" w:color="auto"/>
              <w:right w:val="single" w:sz="6" w:space="0" w:color="auto"/>
            </w:tcBorders>
            <w:vAlign w:val="center"/>
          </w:tcPr>
          <w:p w14:paraId="0F832610"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PL2</w:t>
            </w:r>
          </w:p>
        </w:tc>
      </w:tr>
      <w:tr w:rsidR="00D1201F" w:rsidRPr="00362A50" w14:paraId="3C46E98C" w14:textId="77777777" w:rsidTr="00E37152">
        <w:trPr>
          <w:trHeight w:val="671"/>
        </w:trPr>
        <w:tc>
          <w:tcPr>
            <w:tcW w:w="2063" w:type="dxa"/>
            <w:tcBorders>
              <w:top w:val="single" w:sz="6" w:space="0" w:color="auto"/>
              <w:left w:val="single" w:sz="6" w:space="0" w:color="auto"/>
              <w:bottom w:val="single" w:sz="6" w:space="0" w:color="auto"/>
              <w:right w:val="single" w:sz="6" w:space="0" w:color="auto"/>
            </w:tcBorders>
            <w:vAlign w:val="center"/>
          </w:tcPr>
          <w:p w14:paraId="088D30D8"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Chwilowe odkształcenie zginające</w:t>
            </w:r>
          </w:p>
        </w:tc>
        <w:tc>
          <w:tcPr>
            <w:tcW w:w="1506" w:type="dxa"/>
            <w:tcBorders>
              <w:top w:val="single" w:sz="6" w:space="0" w:color="auto"/>
              <w:left w:val="single" w:sz="6" w:space="0" w:color="auto"/>
              <w:bottom w:val="single" w:sz="6" w:space="0" w:color="auto"/>
              <w:right w:val="single" w:sz="6" w:space="0" w:color="auto"/>
            </w:tcBorders>
            <w:vAlign w:val="center"/>
          </w:tcPr>
          <w:p w14:paraId="2B9777AE"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mm/m</w:t>
            </w:r>
          </w:p>
        </w:tc>
        <w:tc>
          <w:tcPr>
            <w:tcW w:w="3337" w:type="dxa"/>
            <w:tcBorders>
              <w:top w:val="single" w:sz="6" w:space="0" w:color="auto"/>
              <w:left w:val="single" w:sz="6" w:space="0" w:color="auto"/>
              <w:bottom w:val="single" w:sz="6" w:space="0" w:color="auto"/>
              <w:right w:val="single" w:sz="6" w:space="0" w:color="auto"/>
            </w:tcBorders>
            <w:vAlign w:val="center"/>
          </w:tcPr>
          <w:p w14:paraId="6CD7244D"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sym w:font="Symbol" w:char="00A3"/>
            </w:r>
            <w:r w:rsidRPr="00362A50">
              <w:rPr>
                <w:rFonts w:ascii="Bookman Old Style" w:hAnsi="Bookman Old Style"/>
                <w:sz w:val="20"/>
              </w:rPr>
              <w:t xml:space="preserve"> 25</w:t>
            </w:r>
          </w:p>
        </w:tc>
        <w:tc>
          <w:tcPr>
            <w:tcW w:w="2166" w:type="dxa"/>
            <w:tcBorders>
              <w:top w:val="single" w:sz="6" w:space="0" w:color="auto"/>
              <w:left w:val="single" w:sz="6" w:space="0" w:color="auto"/>
              <w:bottom w:val="single" w:sz="6" w:space="0" w:color="auto"/>
              <w:right w:val="single" w:sz="6" w:space="0" w:color="auto"/>
            </w:tcBorders>
            <w:vAlign w:val="center"/>
          </w:tcPr>
          <w:p w14:paraId="149892DD"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TDB4</w:t>
            </w:r>
          </w:p>
        </w:tc>
      </w:tr>
      <w:tr w:rsidR="00D1201F" w:rsidRPr="00362A50" w14:paraId="187BD039" w14:textId="77777777" w:rsidTr="00E37152">
        <w:trPr>
          <w:trHeight w:val="967"/>
        </w:trPr>
        <w:tc>
          <w:tcPr>
            <w:tcW w:w="2063" w:type="dxa"/>
            <w:tcBorders>
              <w:top w:val="single" w:sz="6" w:space="0" w:color="auto"/>
              <w:left w:val="single" w:sz="6" w:space="0" w:color="auto"/>
              <w:bottom w:val="single" w:sz="6" w:space="0" w:color="auto"/>
              <w:right w:val="single" w:sz="6" w:space="0" w:color="auto"/>
            </w:tcBorders>
            <w:vAlign w:val="center"/>
          </w:tcPr>
          <w:p w14:paraId="077A81B8"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Chwilowe odkształcenie skrętne</w:t>
            </w:r>
          </w:p>
        </w:tc>
        <w:tc>
          <w:tcPr>
            <w:tcW w:w="1506" w:type="dxa"/>
            <w:tcBorders>
              <w:top w:val="single" w:sz="6" w:space="0" w:color="auto"/>
              <w:left w:val="single" w:sz="6" w:space="0" w:color="auto"/>
              <w:bottom w:val="single" w:sz="6" w:space="0" w:color="auto"/>
              <w:right w:val="single" w:sz="6" w:space="0" w:color="auto"/>
            </w:tcBorders>
            <w:vAlign w:val="center"/>
          </w:tcPr>
          <w:p w14:paraId="01CF2BDE"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 xml:space="preserve">stopień </w:t>
            </w:r>
            <w:r w:rsidRPr="00362A50">
              <w:rPr>
                <w:rFonts w:ascii="Bookman Old Style" w:hAnsi="Bookman Old Style"/>
                <w:sz w:val="20"/>
              </w:rPr>
              <w:sym w:font="Symbol" w:char="00D7"/>
            </w:r>
            <w:r w:rsidRPr="00362A50">
              <w:rPr>
                <w:rFonts w:ascii="Bookman Old Style" w:hAnsi="Bookman Old Style"/>
                <w:sz w:val="20"/>
              </w:rPr>
              <w:t xml:space="preserve"> m</w:t>
            </w:r>
          </w:p>
        </w:tc>
        <w:tc>
          <w:tcPr>
            <w:tcW w:w="3337" w:type="dxa"/>
            <w:tcBorders>
              <w:top w:val="single" w:sz="6" w:space="0" w:color="auto"/>
              <w:left w:val="single" w:sz="6" w:space="0" w:color="auto"/>
              <w:bottom w:val="single" w:sz="6" w:space="0" w:color="auto"/>
              <w:right w:val="single" w:sz="6" w:space="0" w:color="auto"/>
            </w:tcBorders>
          </w:tcPr>
          <w:p w14:paraId="03D283B9"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sym w:font="Symbol" w:char="00A3"/>
            </w:r>
            <w:r w:rsidRPr="00362A50">
              <w:rPr>
                <w:rFonts w:ascii="Bookman Old Style" w:hAnsi="Bookman Old Style"/>
                <w:sz w:val="20"/>
              </w:rPr>
              <w:t xml:space="preserve"> 0,02</w:t>
            </w:r>
          </w:p>
          <w:p w14:paraId="3E13F9CC"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sym w:font="Symbol" w:char="00A3"/>
            </w:r>
            <w:r w:rsidRPr="00362A50">
              <w:rPr>
                <w:rFonts w:ascii="Bookman Old Style" w:hAnsi="Bookman Old Style"/>
                <w:sz w:val="20"/>
              </w:rPr>
              <w:t xml:space="preserve"> 0,11</w:t>
            </w:r>
          </w:p>
          <w:p w14:paraId="1F62CA50"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sym w:font="Symbol" w:char="00A3"/>
            </w:r>
            <w:r w:rsidRPr="00362A50">
              <w:rPr>
                <w:rFonts w:ascii="Bookman Old Style" w:hAnsi="Bookman Old Style"/>
                <w:sz w:val="20"/>
              </w:rPr>
              <w:t xml:space="preserve"> 0,57</w:t>
            </w:r>
          </w:p>
          <w:p w14:paraId="2BF826FF"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sym w:font="Symbol" w:char="00A3"/>
            </w:r>
            <w:r w:rsidRPr="00362A50">
              <w:rPr>
                <w:rFonts w:ascii="Bookman Old Style" w:hAnsi="Bookman Old Style"/>
                <w:sz w:val="20"/>
              </w:rPr>
              <w:t xml:space="preserve"> 1,15</w:t>
            </w:r>
          </w:p>
        </w:tc>
        <w:tc>
          <w:tcPr>
            <w:tcW w:w="2166" w:type="dxa"/>
            <w:tcBorders>
              <w:top w:val="single" w:sz="6" w:space="0" w:color="auto"/>
              <w:left w:val="single" w:sz="6" w:space="0" w:color="auto"/>
              <w:bottom w:val="single" w:sz="6" w:space="0" w:color="auto"/>
              <w:right w:val="single" w:sz="6" w:space="0" w:color="auto"/>
            </w:tcBorders>
          </w:tcPr>
          <w:p w14:paraId="69FCC67F"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TDT1</w:t>
            </w:r>
          </w:p>
          <w:p w14:paraId="2157E961"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TDT3</w:t>
            </w:r>
          </w:p>
          <w:p w14:paraId="44A0EFA7"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TDT5</w:t>
            </w:r>
          </w:p>
          <w:p w14:paraId="6D16A318"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TDT6*</w:t>
            </w:r>
          </w:p>
        </w:tc>
      </w:tr>
      <w:tr w:rsidR="00D1201F" w:rsidRPr="00362A50" w14:paraId="5B51856E" w14:textId="77777777" w:rsidTr="00E37152">
        <w:trPr>
          <w:trHeight w:val="470"/>
        </w:trPr>
        <w:tc>
          <w:tcPr>
            <w:tcW w:w="2063" w:type="dxa"/>
            <w:tcBorders>
              <w:top w:val="single" w:sz="6" w:space="0" w:color="auto"/>
              <w:left w:val="single" w:sz="6" w:space="0" w:color="auto"/>
              <w:bottom w:val="single" w:sz="6" w:space="0" w:color="auto"/>
              <w:right w:val="single" w:sz="6" w:space="0" w:color="auto"/>
            </w:tcBorders>
            <w:vAlign w:val="center"/>
          </w:tcPr>
          <w:p w14:paraId="60EFE1F6"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Odkształcenie trwałe</w:t>
            </w:r>
          </w:p>
        </w:tc>
        <w:tc>
          <w:tcPr>
            <w:tcW w:w="1506" w:type="dxa"/>
            <w:tcBorders>
              <w:top w:val="single" w:sz="6" w:space="0" w:color="auto"/>
              <w:left w:val="single" w:sz="6" w:space="0" w:color="auto"/>
              <w:bottom w:val="single" w:sz="6" w:space="0" w:color="auto"/>
              <w:right w:val="single" w:sz="6" w:space="0" w:color="auto"/>
            </w:tcBorders>
            <w:vAlign w:val="center"/>
          </w:tcPr>
          <w:p w14:paraId="6DBC909A"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 xml:space="preserve">mm/m  lub stopień </w:t>
            </w:r>
            <w:r w:rsidRPr="00362A50">
              <w:rPr>
                <w:rFonts w:ascii="Bookman Old Style" w:hAnsi="Bookman Old Style"/>
                <w:sz w:val="20"/>
              </w:rPr>
              <w:sym w:font="Symbol" w:char="00D7"/>
            </w:r>
            <w:r w:rsidRPr="00362A50">
              <w:rPr>
                <w:rFonts w:ascii="Bookman Old Style" w:hAnsi="Bookman Old Style"/>
                <w:sz w:val="20"/>
              </w:rPr>
              <w:t xml:space="preserve"> m</w:t>
            </w:r>
          </w:p>
        </w:tc>
        <w:tc>
          <w:tcPr>
            <w:tcW w:w="3337" w:type="dxa"/>
            <w:tcBorders>
              <w:top w:val="single" w:sz="6" w:space="0" w:color="auto"/>
              <w:left w:val="single" w:sz="6" w:space="0" w:color="auto"/>
              <w:bottom w:val="single" w:sz="6" w:space="0" w:color="auto"/>
              <w:right w:val="single" w:sz="6" w:space="0" w:color="auto"/>
            </w:tcBorders>
            <w:vAlign w:val="center"/>
          </w:tcPr>
          <w:p w14:paraId="760455E9"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20 % odkształcenia chwilowego</w:t>
            </w:r>
          </w:p>
        </w:tc>
        <w:tc>
          <w:tcPr>
            <w:tcW w:w="2166" w:type="dxa"/>
            <w:tcBorders>
              <w:top w:val="single" w:sz="6" w:space="0" w:color="auto"/>
              <w:left w:val="single" w:sz="6" w:space="0" w:color="auto"/>
              <w:bottom w:val="single" w:sz="6" w:space="0" w:color="auto"/>
              <w:right w:val="single" w:sz="6" w:space="0" w:color="auto"/>
            </w:tcBorders>
            <w:vAlign w:val="center"/>
          </w:tcPr>
          <w:p w14:paraId="1F60B020"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w:t>
            </w:r>
          </w:p>
        </w:tc>
      </w:tr>
      <w:tr w:rsidR="00D1201F" w:rsidRPr="00362A50" w14:paraId="1A1289F0" w14:textId="77777777" w:rsidTr="00E37152">
        <w:trPr>
          <w:trHeight w:val="897"/>
        </w:trPr>
        <w:tc>
          <w:tcPr>
            <w:tcW w:w="2063" w:type="dxa"/>
            <w:tcBorders>
              <w:top w:val="single" w:sz="6" w:space="0" w:color="auto"/>
              <w:left w:val="single" w:sz="6" w:space="0" w:color="auto"/>
              <w:bottom w:val="single" w:sz="6" w:space="0" w:color="auto"/>
              <w:right w:val="single" w:sz="6" w:space="0" w:color="auto"/>
            </w:tcBorders>
            <w:vAlign w:val="center"/>
          </w:tcPr>
          <w:p w14:paraId="6178A394"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Rodzaj krawędzi znaku</w:t>
            </w:r>
          </w:p>
        </w:tc>
        <w:tc>
          <w:tcPr>
            <w:tcW w:w="1506" w:type="dxa"/>
            <w:tcBorders>
              <w:top w:val="single" w:sz="6" w:space="0" w:color="auto"/>
              <w:left w:val="single" w:sz="6" w:space="0" w:color="auto"/>
              <w:bottom w:val="single" w:sz="6" w:space="0" w:color="auto"/>
              <w:right w:val="single" w:sz="6" w:space="0" w:color="auto"/>
            </w:tcBorders>
            <w:vAlign w:val="center"/>
          </w:tcPr>
          <w:p w14:paraId="6C283DB4"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w:t>
            </w:r>
          </w:p>
        </w:tc>
        <w:tc>
          <w:tcPr>
            <w:tcW w:w="3337" w:type="dxa"/>
            <w:tcBorders>
              <w:top w:val="single" w:sz="6" w:space="0" w:color="auto"/>
              <w:left w:val="single" w:sz="6" w:space="0" w:color="auto"/>
              <w:bottom w:val="single" w:sz="6" w:space="0" w:color="auto"/>
              <w:right w:val="single" w:sz="6" w:space="0" w:color="auto"/>
            </w:tcBorders>
            <w:vAlign w:val="center"/>
          </w:tcPr>
          <w:p w14:paraId="5ED41388"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Zabezpieczona, krawędź tłoczona, zaginana, prasowana lub zabezpieczona profilem krawędziowym</w:t>
            </w:r>
          </w:p>
        </w:tc>
        <w:tc>
          <w:tcPr>
            <w:tcW w:w="2166" w:type="dxa"/>
            <w:tcBorders>
              <w:top w:val="single" w:sz="6" w:space="0" w:color="auto"/>
              <w:left w:val="single" w:sz="6" w:space="0" w:color="auto"/>
              <w:bottom w:val="single" w:sz="6" w:space="0" w:color="auto"/>
              <w:right w:val="single" w:sz="6" w:space="0" w:color="auto"/>
            </w:tcBorders>
            <w:vAlign w:val="center"/>
          </w:tcPr>
          <w:p w14:paraId="08FE2D0A"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E2</w:t>
            </w:r>
          </w:p>
        </w:tc>
      </w:tr>
      <w:tr w:rsidR="00D1201F" w:rsidRPr="00362A50" w14:paraId="42DEA6A4" w14:textId="77777777" w:rsidTr="00E37152">
        <w:trPr>
          <w:trHeight w:val="453"/>
        </w:trPr>
        <w:tc>
          <w:tcPr>
            <w:tcW w:w="2063" w:type="dxa"/>
            <w:tcBorders>
              <w:top w:val="single" w:sz="6" w:space="0" w:color="auto"/>
              <w:left w:val="single" w:sz="6" w:space="0" w:color="auto"/>
              <w:bottom w:val="single" w:sz="6" w:space="0" w:color="auto"/>
              <w:right w:val="single" w:sz="6" w:space="0" w:color="auto"/>
            </w:tcBorders>
            <w:vAlign w:val="center"/>
          </w:tcPr>
          <w:p w14:paraId="54428398"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Przewiercanie lica znaku</w:t>
            </w:r>
          </w:p>
        </w:tc>
        <w:tc>
          <w:tcPr>
            <w:tcW w:w="1506" w:type="dxa"/>
            <w:tcBorders>
              <w:top w:val="single" w:sz="6" w:space="0" w:color="auto"/>
              <w:left w:val="single" w:sz="6" w:space="0" w:color="auto"/>
              <w:bottom w:val="single" w:sz="6" w:space="0" w:color="auto"/>
              <w:right w:val="single" w:sz="6" w:space="0" w:color="auto"/>
            </w:tcBorders>
            <w:vAlign w:val="center"/>
          </w:tcPr>
          <w:p w14:paraId="16BF3C08"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w:t>
            </w:r>
          </w:p>
        </w:tc>
        <w:tc>
          <w:tcPr>
            <w:tcW w:w="3337" w:type="dxa"/>
            <w:tcBorders>
              <w:top w:val="single" w:sz="6" w:space="0" w:color="auto"/>
              <w:left w:val="single" w:sz="6" w:space="0" w:color="auto"/>
              <w:bottom w:val="single" w:sz="6" w:space="0" w:color="auto"/>
              <w:right w:val="single" w:sz="6" w:space="0" w:color="auto"/>
            </w:tcBorders>
            <w:vAlign w:val="center"/>
          </w:tcPr>
          <w:p w14:paraId="416EC244"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Lico znaku nie może być przewiercone z żadnego powodu</w:t>
            </w:r>
          </w:p>
        </w:tc>
        <w:tc>
          <w:tcPr>
            <w:tcW w:w="2166" w:type="dxa"/>
            <w:tcBorders>
              <w:top w:val="single" w:sz="6" w:space="0" w:color="auto"/>
              <w:left w:val="single" w:sz="6" w:space="0" w:color="auto"/>
              <w:bottom w:val="single" w:sz="6" w:space="0" w:color="auto"/>
              <w:right w:val="single" w:sz="6" w:space="0" w:color="auto"/>
            </w:tcBorders>
            <w:vAlign w:val="center"/>
          </w:tcPr>
          <w:p w14:paraId="511F8FDB"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P3</w:t>
            </w:r>
          </w:p>
        </w:tc>
      </w:tr>
      <w:tr w:rsidR="00D1201F" w:rsidRPr="00362A50" w14:paraId="3FEBB8EF" w14:textId="77777777" w:rsidTr="00E37152">
        <w:trPr>
          <w:trHeight w:val="462"/>
        </w:trPr>
        <w:tc>
          <w:tcPr>
            <w:tcW w:w="9072" w:type="dxa"/>
            <w:gridSpan w:val="4"/>
            <w:tcBorders>
              <w:top w:val="single" w:sz="6" w:space="0" w:color="auto"/>
              <w:left w:val="single" w:sz="6" w:space="0" w:color="auto"/>
              <w:bottom w:val="single" w:sz="6" w:space="0" w:color="auto"/>
              <w:right w:val="single" w:sz="6" w:space="0" w:color="auto"/>
            </w:tcBorders>
          </w:tcPr>
          <w:p w14:paraId="72ABB27F" w14:textId="77777777" w:rsidR="00D1201F" w:rsidRPr="00362A50" w:rsidRDefault="00D1201F" w:rsidP="00E37152">
            <w:pPr>
              <w:pStyle w:val="Tekstpodstawowy3"/>
              <w:rPr>
                <w:rFonts w:ascii="Bookman Old Style" w:hAnsi="Bookman Old Style"/>
                <w:sz w:val="20"/>
              </w:rPr>
            </w:pPr>
            <w:r w:rsidRPr="00362A50">
              <w:rPr>
                <w:rFonts w:ascii="Bookman Old Style" w:hAnsi="Bookman Old Style"/>
                <w:sz w:val="20"/>
              </w:rPr>
              <w:t>* klasę TDT3 stosuje się dla tablic na 2 lub więcej podporach, klasę TDT 5 dla tablic na jednej podporze, klasę TDT1 dla tablic na konstrukcjach bramowych, klasę TDT6 dla tablic na konstrukcjach wysięgnikowych</w:t>
            </w:r>
          </w:p>
        </w:tc>
      </w:tr>
    </w:tbl>
    <w:p w14:paraId="512279F9" w14:textId="77777777" w:rsidR="00D1201F" w:rsidRPr="00362A50" w:rsidRDefault="00D1201F" w:rsidP="00D1201F">
      <w:pPr>
        <w:spacing w:before="240"/>
        <w:jc w:val="both"/>
        <w:rPr>
          <w:rFonts w:ascii="Bookman Old Style" w:hAnsi="Bookman Old Style"/>
          <w:b/>
          <w:sz w:val="20"/>
        </w:rPr>
      </w:pPr>
      <w:r w:rsidRPr="00362A50">
        <w:rPr>
          <w:rFonts w:ascii="Bookman Old Style" w:hAnsi="Bookman Old Style"/>
          <w:b/>
          <w:sz w:val="20"/>
        </w:rPr>
        <w:t>2.5.4. Tarcza znaku z blachy ocynkowanej</w:t>
      </w:r>
    </w:p>
    <w:p w14:paraId="32AE146F"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 xml:space="preserve">Tarcza znaku z blachy ocynkowanej ma mieć grubość co najmniej 1,5 mm. </w:t>
      </w:r>
    </w:p>
    <w:p w14:paraId="5B52AB08" w14:textId="77777777" w:rsidR="00D1201F" w:rsidRPr="00362A50" w:rsidRDefault="00D1201F" w:rsidP="00D1201F">
      <w:pPr>
        <w:jc w:val="both"/>
        <w:rPr>
          <w:rFonts w:ascii="Bookman Old Style" w:hAnsi="Bookman Old Style"/>
          <w:b/>
          <w:sz w:val="20"/>
        </w:rPr>
      </w:pPr>
      <w:r w:rsidRPr="00362A50">
        <w:rPr>
          <w:rFonts w:ascii="Bookman Old Style" w:hAnsi="Bookman Old Style"/>
          <w:b/>
          <w:sz w:val="20"/>
        </w:rPr>
        <w:t>2.5.5. Warunki wykonania tarczy znaku</w:t>
      </w:r>
    </w:p>
    <w:p w14:paraId="0D784167" w14:textId="77777777" w:rsidR="00D1201F" w:rsidRPr="00362A50" w:rsidRDefault="00D1201F" w:rsidP="00D1201F">
      <w:pPr>
        <w:overflowPunct w:val="0"/>
        <w:autoSpaceDE w:val="0"/>
        <w:autoSpaceDN w:val="0"/>
        <w:adjustRightInd w:val="0"/>
        <w:jc w:val="both"/>
        <w:rPr>
          <w:rFonts w:ascii="Bookman Old Style" w:hAnsi="Bookman Old Style"/>
          <w:sz w:val="20"/>
          <w:szCs w:val="20"/>
        </w:rPr>
      </w:pPr>
      <w:r w:rsidRPr="00362A50">
        <w:rPr>
          <w:rFonts w:ascii="Bookman Old Style" w:hAnsi="Bookman Old Style"/>
          <w:sz w:val="20"/>
          <w:szCs w:val="20"/>
        </w:rPr>
        <w:t>Tarcze znaków powinny spełniać także następujące wymagania:</w:t>
      </w:r>
    </w:p>
    <w:p w14:paraId="5971CAAF"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 xml:space="preserve">krawędzie tarczy  znaku powinny być usztywnione na całym obwodzie poprzez ich podwójne gięcie o promieniu gięcia nie większym niż 10 mm włącznie z narożnikami lub przez zamocowanie odpowiedniego profilu na całym obwodzie znaku, </w:t>
      </w:r>
    </w:p>
    <w:p w14:paraId="7D79733D"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powierzchnia czołowa tarczy znaku powinna być równa – bez wgięć, pofałdowań i otworów montażowych. Dopuszczalna nierówność wynosi 1 mm/m,</w:t>
      </w:r>
    </w:p>
    <w:p w14:paraId="3746D8EE"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podwójna gięta krawędź  lub przymocowane do tylnej powierzchni  profile montażowe powinny  usztywnić  tarczę znaku  w taki sposób, aby wymagania podane w tablicy 1 były spełnione a zarazem stanowiły element konstrukcyjny do montażu  do konstrukcji wsporczej. Dopuszcza się maksymalne odkształcenie trwałe do 20% odkształcenia odpowiedniej klasy na zginanie i skręcanie,</w:t>
      </w:r>
    </w:p>
    <w:p w14:paraId="33FD0059" w14:textId="77777777" w:rsidR="00D1201F" w:rsidRPr="00362A50" w:rsidRDefault="00D1201F" w:rsidP="00D1201F">
      <w:pPr>
        <w:numPr>
          <w:ilvl w:val="1"/>
          <w:numId w:val="2"/>
        </w:numPr>
        <w:tabs>
          <w:tab w:val="num" w:pos="284"/>
        </w:tabs>
        <w:ind w:left="284" w:hanging="284"/>
        <w:jc w:val="both"/>
        <w:rPr>
          <w:rFonts w:ascii="Bookman Old Style" w:hAnsi="Bookman Old Style"/>
          <w:sz w:val="20"/>
          <w:szCs w:val="20"/>
        </w:rPr>
      </w:pPr>
      <w:r w:rsidRPr="00362A50">
        <w:rPr>
          <w:rFonts w:ascii="Bookman Old Style" w:hAnsi="Bookman Old Style"/>
          <w:spacing w:val="-3"/>
          <w:sz w:val="20"/>
        </w:rPr>
        <w:lastRenderedPageBreak/>
        <w:t>tylna powierzchnia tarczy powinna być zabezpieczona przed procesami korozji ochronnymi powłokami chemicznymi oraz powłoką lakierniczą o grubości min. 60 µm z proszkowych farb poliestrowych ciemnoszarych matowych lub półmatowych w kolorze RAL 7037; badania należy wykonywać zgodnie z PN-EN ISO 9227 [11]w zakresie odporności na działanie mgły solnej oraz wody</w:t>
      </w:r>
      <w:r w:rsidRPr="00362A50">
        <w:rPr>
          <w:rFonts w:ascii="Bookman Old Style" w:hAnsi="Bookman Old Style"/>
          <w:sz w:val="20"/>
          <w:szCs w:val="20"/>
        </w:rPr>
        <w:t xml:space="preserve">.  </w:t>
      </w:r>
    </w:p>
    <w:p w14:paraId="0C0320AA" w14:textId="77777777" w:rsidR="00D1201F" w:rsidRPr="00362A50" w:rsidRDefault="00D1201F" w:rsidP="00D1201F">
      <w:pPr>
        <w:overflowPunct w:val="0"/>
        <w:autoSpaceDE w:val="0"/>
        <w:autoSpaceDN w:val="0"/>
        <w:adjustRightInd w:val="0"/>
        <w:jc w:val="both"/>
        <w:rPr>
          <w:rFonts w:ascii="Bookman Old Style" w:hAnsi="Bookman Old Style"/>
          <w:sz w:val="20"/>
          <w:szCs w:val="20"/>
        </w:rPr>
      </w:pPr>
      <w:r w:rsidRPr="00362A50">
        <w:rPr>
          <w:rFonts w:ascii="Bookman Old Style" w:hAnsi="Bookman Old Style"/>
          <w:sz w:val="20"/>
          <w:szCs w:val="20"/>
        </w:rPr>
        <w:t>Tarcze znaków i tablic o powierzchni  &gt;1 m</w:t>
      </w:r>
      <w:r w:rsidRPr="00362A50">
        <w:rPr>
          <w:rFonts w:ascii="Bookman Old Style" w:hAnsi="Bookman Old Style"/>
          <w:sz w:val="20"/>
          <w:szCs w:val="20"/>
          <w:vertAlign w:val="superscript"/>
        </w:rPr>
        <w:t>2</w:t>
      </w:r>
      <w:r w:rsidRPr="00362A50">
        <w:rPr>
          <w:rFonts w:ascii="Bookman Old Style" w:hAnsi="Bookman Old Style"/>
          <w:sz w:val="20"/>
          <w:szCs w:val="20"/>
        </w:rPr>
        <w:t>powinny spełniać dodatkowo następujące wymagania:</w:t>
      </w:r>
    </w:p>
    <w:p w14:paraId="6F08D46D"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 xml:space="preserve">narożniki znaku i tablicy powinny być zaokrąglone, o promieniu zgodnym z wymaganiami określonymi </w:t>
      </w:r>
      <w:r w:rsidRPr="00362A50">
        <w:rPr>
          <w:rFonts w:ascii="Bookman Old Style" w:hAnsi="Bookman Old Style"/>
          <w:spacing w:val="-3"/>
          <w:sz w:val="20"/>
        </w:rPr>
        <w:br/>
        <w:t>w załączniku nr 1 do rozporządzenia Ministra Infrastruktury z dnia 3 lipca 2003 r. [15] nie mniejszym jednak niż 30 mm, gdy wielkości tego promienia nie wskazano,</w:t>
      </w:r>
    </w:p>
    <w:p w14:paraId="40CA3C0E"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 xml:space="preserve">łączenie poszczególnych segmentów tarczy (dla znaków wielkogabarytowych) wzdłuż poziomej lub pionowej krawędzi powinno być wykonane w taki sposób, aby nie występowały przesunięcia i prześwity w miejscach ich łączenia. </w:t>
      </w:r>
    </w:p>
    <w:p w14:paraId="296EB2A3" w14:textId="77777777" w:rsidR="00D1201F" w:rsidRPr="00362A50" w:rsidRDefault="00D1201F" w:rsidP="00D1201F">
      <w:pPr>
        <w:numPr>
          <w:ilvl w:val="1"/>
          <w:numId w:val="2"/>
        </w:numPr>
        <w:tabs>
          <w:tab w:val="num" w:pos="284"/>
        </w:tabs>
        <w:ind w:left="284" w:hanging="284"/>
        <w:jc w:val="both"/>
        <w:rPr>
          <w:rFonts w:ascii="Bookman Old Style" w:hAnsi="Bookman Old Style"/>
          <w:sz w:val="20"/>
          <w:szCs w:val="20"/>
        </w:rPr>
      </w:pPr>
      <w:r w:rsidRPr="00362A50">
        <w:rPr>
          <w:rFonts w:ascii="Bookman Old Style" w:hAnsi="Bookman Old Style"/>
          <w:spacing w:val="-3"/>
          <w:sz w:val="20"/>
        </w:rPr>
        <w:t xml:space="preserve">powinno być wykonane w taki sposób, aby nie występowały przesunięcia i prześwity </w:t>
      </w:r>
      <w:r w:rsidRPr="00362A50">
        <w:rPr>
          <w:rFonts w:ascii="Bookman Old Style" w:hAnsi="Bookman Old Style"/>
          <w:spacing w:val="-3"/>
          <w:sz w:val="20"/>
        </w:rPr>
        <w:br/>
        <w:t>w miejscach ich łączenia</w:t>
      </w:r>
      <w:r w:rsidRPr="00362A50">
        <w:rPr>
          <w:rFonts w:ascii="Bookman Old Style" w:hAnsi="Bookman Old Style"/>
          <w:sz w:val="20"/>
          <w:szCs w:val="20"/>
        </w:rPr>
        <w:t xml:space="preserve">. </w:t>
      </w:r>
    </w:p>
    <w:p w14:paraId="16C7F0FB"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2.6. Materiały do montażu znaków</w:t>
      </w:r>
    </w:p>
    <w:p w14:paraId="0F7497E4"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 xml:space="preserve">Wszystkie ocynkowane łączniki metalowe przewidywane do mocowania między sobą elementów konstrukcji wsporczych znaków jak śruby, listwy, wkręty, nakrętki itp., powinny być czyste, gładkie, bez pęknięć, naderwań, rozwarstwień i wypukłych karbów. Dostawa może być dostarczona w pudełkach tekturowych, pojemnikach blaszanych lub paletach, </w:t>
      </w:r>
      <w:r w:rsidRPr="00362A50">
        <w:rPr>
          <w:rFonts w:ascii="Bookman Old Style" w:hAnsi="Bookman Old Style"/>
          <w:sz w:val="20"/>
        </w:rPr>
        <w:br/>
        <w:t>w zależności od wielkości wyrobów.</w:t>
      </w:r>
    </w:p>
    <w:p w14:paraId="06F3BCFB"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2.7. Przechowywanie i składowanie materiałów</w:t>
      </w:r>
    </w:p>
    <w:p w14:paraId="4FA590AC"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 xml:space="preserve">Wykonawca powinien zapewnić wszystkim materiałom warunki przechowywania </w:t>
      </w:r>
      <w:r w:rsidRPr="00362A50">
        <w:rPr>
          <w:rFonts w:ascii="Bookman Old Style" w:hAnsi="Bookman Old Style"/>
          <w:sz w:val="20"/>
        </w:rPr>
        <w:br/>
        <w:t>i składowania zapewniające zachowanie ich jakości i przydatności do robót oraz zgodność z wymaganiami niniejszej STWiORB.</w:t>
      </w:r>
    </w:p>
    <w:p w14:paraId="1DABE5C3"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Odpowiedzialność za wady materiałów powstałe w czasie przechowywania i składowania ponosi Wykonawca.</w:t>
      </w:r>
    </w:p>
    <w:p w14:paraId="669A240F"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 xml:space="preserve">Prefabrykaty betonowe powinny być składowane na wyrównanym, utwardzonym </w:t>
      </w:r>
      <w:r w:rsidRPr="00362A50">
        <w:rPr>
          <w:rFonts w:ascii="Bookman Old Style" w:hAnsi="Bookman Old Style"/>
          <w:sz w:val="20"/>
        </w:rPr>
        <w:br/>
        <w:t>i odwodnionym  podłożu. Prefabrykaty należy układać na podkładach z zachowaniem prześwitu minimum 10 cm między podłożem a prefabrykatem.</w:t>
      </w:r>
    </w:p>
    <w:p w14:paraId="42663275"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Znaki powinny być przechowywane w pomieszczeniach suchych z dala od materiałów działających korodująco i w warunkach zabezpieczających przed uszkodzeniami.</w:t>
      </w:r>
    </w:p>
    <w:p w14:paraId="65AA98A1" w14:textId="77777777" w:rsidR="00D1201F" w:rsidRPr="00362A50" w:rsidRDefault="00D1201F" w:rsidP="00D1201F">
      <w:pPr>
        <w:spacing w:before="240"/>
        <w:jc w:val="both"/>
        <w:rPr>
          <w:rFonts w:ascii="Bookman Old Style" w:hAnsi="Bookman Old Style"/>
          <w:b/>
          <w:sz w:val="20"/>
        </w:rPr>
      </w:pPr>
      <w:r w:rsidRPr="00362A50">
        <w:rPr>
          <w:rFonts w:ascii="Bookman Old Style" w:hAnsi="Bookman Old Style"/>
          <w:b/>
          <w:sz w:val="20"/>
        </w:rPr>
        <w:t>3. SPRZĘT</w:t>
      </w:r>
    </w:p>
    <w:p w14:paraId="5CAE486E"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3.1. Wymagania ogólne dotyczące sprzętu</w:t>
      </w:r>
    </w:p>
    <w:p w14:paraId="251D8C0A"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Wymagania ogólne dotycz</w:t>
      </w:r>
      <w:r>
        <w:rPr>
          <w:rFonts w:ascii="Bookman Old Style" w:hAnsi="Bookman Old Style"/>
          <w:sz w:val="20"/>
        </w:rPr>
        <w:t>ące sprzętu podano w STWiORB D</w:t>
      </w:r>
      <w:r w:rsidRPr="00362A50">
        <w:rPr>
          <w:rFonts w:ascii="Bookman Old Style" w:hAnsi="Bookman Old Style"/>
          <w:sz w:val="20"/>
        </w:rPr>
        <w:t>-00.00.00. "Wymagania ogólne" pkt 3.</w:t>
      </w:r>
    </w:p>
    <w:p w14:paraId="79921A92"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3.2 Sprzęt do wykonywania oznakowania pionowego</w:t>
      </w:r>
    </w:p>
    <w:p w14:paraId="7512430E"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Przy wykonaniu oznakowania pionowego, przewozie, załadunku i wyładunku materiałów, można stosować:</w:t>
      </w:r>
    </w:p>
    <w:p w14:paraId="58A35F34"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ewentualnie wiertnice do wykonywania dołów pod słupki w gruncie zwięzłym,</w:t>
      </w:r>
    </w:p>
    <w:p w14:paraId="0E88361F"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betoniarki przewoźne do wykonywania fundamentów betonowych "na mokro",</w:t>
      </w:r>
    </w:p>
    <w:p w14:paraId="1A90E9C7"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środki transportu materiałów,</w:t>
      </w:r>
    </w:p>
    <w:p w14:paraId="446538B5"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przewoźne zbiorniki do wody,</w:t>
      </w:r>
    </w:p>
    <w:p w14:paraId="7A3D412E"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sprzęt spawalniczy, itp.</w:t>
      </w:r>
    </w:p>
    <w:p w14:paraId="1AFA8237" w14:textId="77777777" w:rsidR="00D1201F" w:rsidRPr="00362A50" w:rsidRDefault="00D1201F" w:rsidP="00D1201F">
      <w:pPr>
        <w:spacing w:before="240"/>
        <w:jc w:val="both"/>
        <w:rPr>
          <w:rFonts w:ascii="Bookman Old Style" w:hAnsi="Bookman Old Style"/>
          <w:b/>
          <w:sz w:val="20"/>
        </w:rPr>
      </w:pPr>
      <w:r w:rsidRPr="00362A50">
        <w:rPr>
          <w:rFonts w:ascii="Bookman Old Style" w:hAnsi="Bookman Old Style"/>
          <w:b/>
          <w:sz w:val="20"/>
        </w:rPr>
        <w:t>4. TRANSPORT</w:t>
      </w:r>
    </w:p>
    <w:p w14:paraId="17623F3D"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4.1. Wymagania ogólne dotyczące transportu</w:t>
      </w:r>
    </w:p>
    <w:p w14:paraId="2F20D709"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 xml:space="preserve">Wymagania ogólne dotyczące transportu podano w STWiORB </w:t>
      </w:r>
      <w:r>
        <w:rPr>
          <w:rFonts w:ascii="Bookman Old Style" w:hAnsi="Bookman Old Style"/>
          <w:sz w:val="20"/>
        </w:rPr>
        <w:t xml:space="preserve">D-00.00.00 </w:t>
      </w:r>
      <w:r w:rsidRPr="00362A50">
        <w:rPr>
          <w:rFonts w:ascii="Bookman Old Style" w:hAnsi="Bookman Old Style"/>
          <w:sz w:val="20"/>
        </w:rPr>
        <w:t>"Wymagania ogólne" pkt. 4.</w:t>
      </w:r>
    </w:p>
    <w:p w14:paraId="19E63FE0"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4.2. Przewóz materiałów do pionowego oznakowania dróg</w:t>
      </w:r>
    </w:p>
    <w:p w14:paraId="312D326B"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Prefabrykaty betonowe - do zamocowania konstrukcji wsporczych znaków, powinny być przewożone środkami transportowymi w warunkach zabezpieczających je przed uszkodzeniami. Rozmieszczenie prefabrykatów na środkach transportu powinno być symetryczne.</w:t>
      </w:r>
    </w:p>
    <w:p w14:paraId="2DF3F5A2" w14:textId="77777777" w:rsidR="00D1201F" w:rsidRPr="00362A50" w:rsidRDefault="00D1201F" w:rsidP="00D1201F">
      <w:pPr>
        <w:widowControl w:val="0"/>
        <w:autoSpaceDE w:val="0"/>
        <w:autoSpaceDN w:val="0"/>
        <w:jc w:val="both"/>
        <w:rPr>
          <w:rFonts w:ascii="Bookman Old Style" w:hAnsi="Bookman Old Style"/>
          <w:szCs w:val="20"/>
        </w:rPr>
      </w:pPr>
      <w:r w:rsidRPr="00362A50">
        <w:rPr>
          <w:rFonts w:ascii="Bookman Old Style" w:hAnsi="Bookman Old Style"/>
          <w:sz w:val="20"/>
          <w:szCs w:val="20"/>
        </w:rPr>
        <w:t>Znaki drogowe należy na okres transportu odpowiednio zabezpieczyć, tak aby nie ulegały przemieszczaniui w sposób nie uszkodzony dotarły do odbiorcy.</w:t>
      </w:r>
    </w:p>
    <w:p w14:paraId="03231BA0" w14:textId="77777777" w:rsidR="00D1201F" w:rsidRPr="00362A50" w:rsidRDefault="00D1201F" w:rsidP="00D1201F">
      <w:pPr>
        <w:spacing w:before="240"/>
        <w:jc w:val="both"/>
        <w:rPr>
          <w:rFonts w:ascii="Bookman Old Style" w:hAnsi="Bookman Old Style"/>
          <w:b/>
          <w:sz w:val="20"/>
        </w:rPr>
      </w:pPr>
      <w:r w:rsidRPr="00362A50">
        <w:rPr>
          <w:rFonts w:ascii="Bookman Old Style" w:hAnsi="Bookman Old Style"/>
          <w:b/>
          <w:sz w:val="20"/>
        </w:rPr>
        <w:t>5. WYKONANIE ROBÓT</w:t>
      </w:r>
    </w:p>
    <w:p w14:paraId="74E77F72"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lastRenderedPageBreak/>
        <w:t>5.1. Ogólne zasady wykonywania robót</w:t>
      </w:r>
    </w:p>
    <w:p w14:paraId="70112CB4" w14:textId="77777777" w:rsidR="00D1201F" w:rsidRPr="00362A50" w:rsidRDefault="00D1201F" w:rsidP="00D1201F">
      <w:pPr>
        <w:tabs>
          <w:tab w:val="left" w:pos="0"/>
        </w:tabs>
        <w:jc w:val="both"/>
        <w:rPr>
          <w:rFonts w:ascii="Bookman Old Style" w:hAnsi="Bookman Old Style"/>
          <w:sz w:val="20"/>
        </w:rPr>
      </w:pPr>
      <w:r w:rsidRPr="00362A50">
        <w:rPr>
          <w:rFonts w:ascii="Bookman Old Style" w:hAnsi="Bookman Old Style"/>
          <w:sz w:val="20"/>
        </w:rPr>
        <w:t xml:space="preserve">Ogólne zasady wykonywania robót podano w STWiORB </w:t>
      </w:r>
      <w:r>
        <w:rPr>
          <w:rFonts w:ascii="Bookman Old Style" w:hAnsi="Bookman Old Style"/>
          <w:sz w:val="20"/>
        </w:rPr>
        <w:t xml:space="preserve">D-00.00.00 </w:t>
      </w:r>
      <w:r w:rsidRPr="00362A50">
        <w:rPr>
          <w:rFonts w:ascii="Bookman Old Style" w:hAnsi="Bookman Old Style"/>
          <w:sz w:val="20"/>
        </w:rPr>
        <w:t xml:space="preserve">"Wymagania ogólne" pkt. 5. </w:t>
      </w:r>
    </w:p>
    <w:p w14:paraId="5DECE2B6" w14:textId="77777777" w:rsidR="00D1201F" w:rsidRPr="00362A50" w:rsidRDefault="00D1201F" w:rsidP="00D1201F">
      <w:pPr>
        <w:tabs>
          <w:tab w:val="left" w:pos="0"/>
        </w:tabs>
        <w:jc w:val="both"/>
        <w:rPr>
          <w:rFonts w:ascii="Bookman Old Style" w:hAnsi="Bookman Old Style"/>
          <w:b/>
          <w:sz w:val="20"/>
          <w:u w:val="single"/>
        </w:rPr>
      </w:pPr>
      <w:r w:rsidRPr="00362A50">
        <w:rPr>
          <w:rFonts w:ascii="Bookman Old Style" w:hAnsi="Bookman Old Style"/>
          <w:b/>
          <w:sz w:val="20"/>
          <w:u w:val="single"/>
        </w:rPr>
        <w:t>5.2. Roboty przygotowawcze</w:t>
      </w:r>
    </w:p>
    <w:p w14:paraId="63C23A8E" w14:textId="77777777" w:rsidR="00D1201F" w:rsidRPr="00362A50" w:rsidRDefault="00D1201F" w:rsidP="00D1201F">
      <w:pPr>
        <w:tabs>
          <w:tab w:val="left" w:pos="734"/>
        </w:tabs>
        <w:jc w:val="both"/>
        <w:rPr>
          <w:rFonts w:ascii="Bookman Old Style" w:hAnsi="Bookman Old Style"/>
          <w:sz w:val="20"/>
        </w:rPr>
      </w:pPr>
      <w:r w:rsidRPr="00362A50">
        <w:rPr>
          <w:rFonts w:ascii="Bookman Old Style" w:hAnsi="Bookman Old Style"/>
          <w:sz w:val="20"/>
        </w:rPr>
        <w:t>Przed przystąpieniem do robót należy wyznaczyć:</w:t>
      </w:r>
    </w:p>
    <w:p w14:paraId="2D4D3CA5"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lokalizację znaku, tj. jego pikietaż oraz odległość od krawędzi jezdni,</w:t>
      </w:r>
    </w:p>
    <w:p w14:paraId="071C3E5E" w14:textId="77777777" w:rsidR="00D1201F" w:rsidRPr="00362A50" w:rsidRDefault="00D1201F" w:rsidP="00D1201F">
      <w:pPr>
        <w:numPr>
          <w:ilvl w:val="1"/>
          <w:numId w:val="2"/>
        </w:numPr>
        <w:tabs>
          <w:tab w:val="num" w:pos="284"/>
        </w:tabs>
        <w:ind w:left="284" w:hanging="284"/>
        <w:jc w:val="both"/>
        <w:rPr>
          <w:rFonts w:ascii="Bookman Old Style" w:hAnsi="Bookman Old Style"/>
          <w:sz w:val="20"/>
        </w:rPr>
      </w:pPr>
      <w:r w:rsidRPr="00362A50">
        <w:rPr>
          <w:rFonts w:ascii="Bookman Old Style" w:hAnsi="Bookman Old Style"/>
          <w:spacing w:val="-3"/>
          <w:sz w:val="20"/>
        </w:rPr>
        <w:t>wysokość</w:t>
      </w:r>
      <w:r w:rsidRPr="00362A50">
        <w:rPr>
          <w:rFonts w:ascii="Bookman Old Style" w:hAnsi="Bookman Old Style"/>
          <w:sz w:val="20"/>
        </w:rPr>
        <w:t xml:space="preserve"> zamocowania znaku na konstrukcji wsporczej.</w:t>
      </w:r>
    </w:p>
    <w:p w14:paraId="61914701" w14:textId="77777777" w:rsidR="00D1201F" w:rsidRPr="00362A50" w:rsidRDefault="00D1201F" w:rsidP="00D1201F">
      <w:pPr>
        <w:pStyle w:val="tekstost"/>
        <w:tabs>
          <w:tab w:val="left" w:pos="758"/>
        </w:tabs>
        <w:rPr>
          <w:rFonts w:ascii="Bookman Old Style" w:hAnsi="Bookman Old Style"/>
        </w:rPr>
      </w:pPr>
      <w:r w:rsidRPr="00362A50">
        <w:rPr>
          <w:rFonts w:ascii="Bookman Old Style" w:hAnsi="Bookman Old Style"/>
        </w:rPr>
        <w:t xml:space="preserve">Punkty stabilizujące miejsce ustawienia znaków należy zabezpieczyć w taki sposób, aby </w:t>
      </w:r>
      <w:r w:rsidRPr="00362A50">
        <w:rPr>
          <w:rFonts w:ascii="Bookman Old Style" w:hAnsi="Bookman Old Style"/>
        </w:rPr>
        <w:br/>
        <w:t>w czasie trwania i odbioru robót istniała możliwość odtworzenia lokalizacji znaków.</w:t>
      </w:r>
    </w:p>
    <w:p w14:paraId="1D5DEDAC" w14:textId="77777777" w:rsidR="00D1201F" w:rsidRPr="00362A50" w:rsidRDefault="00D1201F" w:rsidP="00D1201F">
      <w:pPr>
        <w:tabs>
          <w:tab w:val="left" w:pos="758"/>
        </w:tabs>
        <w:jc w:val="both"/>
        <w:rPr>
          <w:rFonts w:ascii="Bookman Old Style" w:hAnsi="Bookman Old Style"/>
          <w:sz w:val="20"/>
        </w:rPr>
      </w:pPr>
      <w:r w:rsidRPr="00362A50">
        <w:rPr>
          <w:rFonts w:ascii="Bookman Old Style" w:hAnsi="Bookman Old Style"/>
          <w:sz w:val="20"/>
        </w:rPr>
        <w:t xml:space="preserve">Lokalizacja i wysokość zamocowania znaku powinny być zgodne z Dokumentacją Projektową. </w:t>
      </w:r>
    </w:p>
    <w:p w14:paraId="3773A013" w14:textId="77777777" w:rsidR="00D1201F" w:rsidRPr="00362A50" w:rsidRDefault="00D1201F" w:rsidP="00D1201F">
      <w:pPr>
        <w:tabs>
          <w:tab w:val="left" w:pos="758"/>
        </w:tabs>
        <w:jc w:val="both"/>
        <w:rPr>
          <w:rFonts w:ascii="Bookman Old Style" w:hAnsi="Bookman Old Style"/>
          <w:b/>
          <w:sz w:val="20"/>
          <w:u w:val="single"/>
        </w:rPr>
      </w:pPr>
      <w:r w:rsidRPr="00362A50">
        <w:rPr>
          <w:rFonts w:ascii="Bookman Old Style" w:hAnsi="Bookman Old Style"/>
          <w:b/>
          <w:sz w:val="20"/>
          <w:u w:val="single"/>
        </w:rPr>
        <w:t>5.3. Wykonanie wykopów i fundamentów dla konstrukcji wsporczych znaków</w:t>
      </w:r>
    </w:p>
    <w:p w14:paraId="69D0C268" w14:textId="77777777" w:rsidR="00D1201F" w:rsidRPr="00362A50" w:rsidRDefault="00D1201F" w:rsidP="00D1201F">
      <w:pPr>
        <w:tabs>
          <w:tab w:val="left" w:pos="292"/>
        </w:tabs>
        <w:jc w:val="both"/>
        <w:rPr>
          <w:rFonts w:ascii="Bookman Old Style" w:hAnsi="Bookman Old Style"/>
          <w:sz w:val="20"/>
        </w:rPr>
      </w:pPr>
      <w:r w:rsidRPr="00362A50">
        <w:rPr>
          <w:rFonts w:ascii="Bookman Old Style" w:hAnsi="Bookman Old Style"/>
          <w:sz w:val="20"/>
        </w:rPr>
        <w:t xml:space="preserve">Sposób wykonania wykopu pod fundament znaku pionowego powinien być dostosowany do głębokości wykopu, rodzaju gruntu i posiadanego sprzętu. Wymiary wykopu powinny być zgodne z dokumentacja projektową lub wskazaniami </w:t>
      </w:r>
      <w:r w:rsidRPr="00362A50">
        <w:rPr>
          <w:rFonts w:ascii="Bookman Old Style" w:hAnsi="Bookman Old Style"/>
          <w:sz w:val="20"/>
          <w:szCs w:val="20"/>
        </w:rPr>
        <w:t>Inżyniera</w:t>
      </w:r>
      <w:r w:rsidRPr="00362A50">
        <w:rPr>
          <w:rFonts w:ascii="Bookman Old Style" w:hAnsi="Bookman Old Style"/>
          <w:sz w:val="20"/>
        </w:rPr>
        <w:t>. Wykopy fundamentowe powinny być wykonane w takim okresie, aby po ich zakończeniu można było przystąpić natychmiast do wykonania w nich robót fundamentowych.</w:t>
      </w:r>
    </w:p>
    <w:p w14:paraId="08BEF0E4" w14:textId="77777777" w:rsidR="00D1201F" w:rsidRPr="00362A50" w:rsidRDefault="00D1201F" w:rsidP="00D1201F">
      <w:pPr>
        <w:jc w:val="both"/>
        <w:rPr>
          <w:rFonts w:ascii="Bookman Old Style" w:hAnsi="Bookman Old Style"/>
          <w:b/>
          <w:sz w:val="20"/>
        </w:rPr>
      </w:pPr>
      <w:r w:rsidRPr="00362A50">
        <w:rPr>
          <w:rFonts w:ascii="Bookman Old Style" w:hAnsi="Bookman Old Style"/>
          <w:b/>
          <w:sz w:val="20"/>
        </w:rPr>
        <w:t>5.3.1. Fundamenty z betonu i betonu zbrojonego</w:t>
      </w:r>
    </w:p>
    <w:p w14:paraId="202C1DE4" w14:textId="77777777" w:rsidR="00D1201F" w:rsidRPr="00362A50" w:rsidRDefault="00D1201F" w:rsidP="00D1201F">
      <w:pPr>
        <w:tabs>
          <w:tab w:val="left" w:pos="292"/>
        </w:tabs>
        <w:jc w:val="both"/>
        <w:rPr>
          <w:rFonts w:ascii="Bookman Old Style" w:hAnsi="Bookman Old Style"/>
          <w:sz w:val="20"/>
        </w:rPr>
      </w:pPr>
      <w:r w:rsidRPr="00362A50">
        <w:rPr>
          <w:rFonts w:ascii="Bookman Old Style" w:hAnsi="Bookman Old Style"/>
          <w:sz w:val="20"/>
        </w:rPr>
        <w:t xml:space="preserve">Wykopy pod fundamenty konstrukcji wsporczych dla zamocowania znaków wielkowymiarowych (znak kierunku i miejscowości), wykonywane z betonu „na mokro” lub </w:t>
      </w:r>
      <w:r w:rsidRPr="00362A50">
        <w:rPr>
          <w:rFonts w:ascii="Bookman Old Style" w:hAnsi="Bookman Old Style"/>
          <w:sz w:val="20"/>
        </w:rPr>
        <w:br/>
        <w:t>z betonu zbrojonego należy wykonać zgodnie z PN-S-02205 [13].</w:t>
      </w:r>
    </w:p>
    <w:p w14:paraId="57837D1B" w14:textId="77777777" w:rsidR="00D1201F" w:rsidRPr="00362A50" w:rsidRDefault="00D1201F" w:rsidP="00D1201F">
      <w:pPr>
        <w:tabs>
          <w:tab w:val="left" w:pos="292"/>
        </w:tabs>
        <w:jc w:val="both"/>
        <w:rPr>
          <w:rFonts w:ascii="Bookman Old Style" w:hAnsi="Bookman Old Style"/>
          <w:sz w:val="20"/>
          <w:szCs w:val="20"/>
        </w:rPr>
      </w:pPr>
      <w:r w:rsidRPr="00362A50">
        <w:rPr>
          <w:rFonts w:ascii="Bookman Old Style" w:hAnsi="Bookman Old Style"/>
          <w:sz w:val="20"/>
        </w:rPr>
        <w:t xml:space="preserve">Posadowienie fundamentów w wykopach otwartych bądź rozpartych należy wykonywać zgodnie z Dokumentacją Projektową, STWiORB lub wskazaniami </w:t>
      </w:r>
      <w:r w:rsidRPr="00362A50">
        <w:rPr>
          <w:rFonts w:ascii="Bookman Old Style" w:hAnsi="Bookman Old Style"/>
          <w:sz w:val="20"/>
          <w:szCs w:val="20"/>
        </w:rPr>
        <w:t>Inżyniera</w:t>
      </w:r>
      <w:r w:rsidRPr="00362A50">
        <w:rPr>
          <w:rFonts w:ascii="Bookman Old Style" w:hAnsi="Bookman Old Style"/>
          <w:sz w:val="20"/>
        </w:rPr>
        <w:t>. Wykopy należy zabezpieczyć przed napływem wód opadowych przez</w:t>
      </w:r>
      <w:r w:rsidRPr="00362A50">
        <w:rPr>
          <w:rFonts w:ascii="Bookman Old Style" w:hAnsi="Bookman Old Style"/>
          <w:sz w:val="20"/>
          <w:szCs w:val="20"/>
        </w:rPr>
        <w:t xml:space="preserve"> wyprofilowanie terenu ze spadkiem umożliwiającym łatwy odpływ wody poza teren przylegający do wykopu. Dno wykopu powinno być wyrównane z dokładnością </w:t>
      </w:r>
      <w:r w:rsidRPr="00362A50">
        <w:rPr>
          <w:rFonts w:ascii="Bookman Old Style" w:hAnsi="Bookman Old Style"/>
          <w:sz w:val="20"/>
          <w:szCs w:val="20"/>
        </w:rPr>
        <w:sym w:font="Symbol" w:char="00B1"/>
      </w:r>
      <w:r w:rsidRPr="00362A50">
        <w:rPr>
          <w:rFonts w:ascii="Bookman Old Style" w:hAnsi="Bookman Old Style"/>
          <w:sz w:val="20"/>
          <w:szCs w:val="20"/>
        </w:rPr>
        <w:t>2 cm.</w:t>
      </w:r>
    </w:p>
    <w:p w14:paraId="6A63675F" w14:textId="77777777" w:rsidR="00D1201F" w:rsidRPr="00362A50" w:rsidRDefault="00D1201F" w:rsidP="00D1201F">
      <w:pPr>
        <w:numPr>
          <w:ilvl w:val="12"/>
          <w:numId w:val="0"/>
        </w:numPr>
        <w:overflowPunct w:val="0"/>
        <w:autoSpaceDE w:val="0"/>
        <w:autoSpaceDN w:val="0"/>
        <w:adjustRightInd w:val="0"/>
        <w:jc w:val="both"/>
        <w:rPr>
          <w:rFonts w:ascii="Bookman Old Style" w:hAnsi="Bookman Old Style"/>
          <w:sz w:val="20"/>
          <w:szCs w:val="20"/>
        </w:rPr>
      </w:pPr>
      <w:r w:rsidRPr="00362A50">
        <w:rPr>
          <w:rFonts w:ascii="Bookman Old Style" w:hAnsi="Bookman Old Style"/>
          <w:sz w:val="20"/>
          <w:szCs w:val="20"/>
        </w:rPr>
        <w:t>Przy naruszonej strukturze gruntu rodzimego, grunt należy usunąć i miejsce wypełnić do spodu fundamentu betonem. Płaszczyzny boczne fundamentów stykające się z gruntem należy zabezpieczyć izolacją, np. emulsją asfaltową. Po wykonaniu fundamentu wykop należy zasypać warstwami grubości 20 cm z dokładnym zagęszczeniem gruntu.</w:t>
      </w:r>
    </w:p>
    <w:p w14:paraId="02819D4E"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5.4. Tolerancja ustawienia znaku pionowego</w:t>
      </w:r>
    </w:p>
    <w:p w14:paraId="417C5B21"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 xml:space="preserve">Konstrukcje wsporcze znaków - słupki, słupy, wysięgniki, konstrukcje dla tablic wielkowymiarowych, powinny być wykonane zgodnie z dokumentacja projektową, lub wskazaniami </w:t>
      </w:r>
      <w:r w:rsidRPr="00362A50">
        <w:rPr>
          <w:rFonts w:ascii="Bookman Old Style" w:hAnsi="Bookman Old Style"/>
          <w:sz w:val="20"/>
          <w:szCs w:val="20"/>
        </w:rPr>
        <w:t>Inżyniera</w:t>
      </w:r>
      <w:r w:rsidRPr="00362A50">
        <w:rPr>
          <w:rFonts w:ascii="Bookman Old Style" w:hAnsi="Bookman Old Style"/>
          <w:sz w:val="20"/>
        </w:rPr>
        <w:t>.</w:t>
      </w:r>
    </w:p>
    <w:p w14:paraId="5AC0D7C2" w14:textId="77777777" w:rsidR="00D1201F" w:rsidRPr="00362A50" w:rsidRDefault="00D1201F" w:rsidP="00D1201F">
      <w:pPr>
        <w:numPr>
          <w:ilvl w:val="12"/>
          <w:numId w:val="0"/>
        </w:numPr>
        <w:overflowPunct w:val="0"/>
        <w:autoSpaceDE w:val="0"/>
        <w:autoSpaceDN w:val="0"/>
        <w:adjustRightInd w:val="0"/>
        <w:jc w:val="both"/>
        <w:rPr>
          <w:rFonts w:ascii="Bookman Old Style" w:hAnsi="Bookman Old Style"/>
          <w:sz w:val="20"/>
          <w:szCs w:val="20"/>
        </w:rPr>
      </w:pPr>
      <w:r w:rsidRPr="00362A50">
        <w:rPr>
          <w:rFonts w:ascii="Bookman Old Style" w:hAnsi="Bookman Old Style"/>
          <w:sz w:val="20"/>
          <w:szCs w:val="20"/>
        </w:rPr>
        <w:t>Dopuszczalne tolerancje ustawienia znaku:</w:t>
      </w:r>
    </w:p>
    <w:p w14:paraId="332204FE"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 xml:space="preserve">odchyłka od pionu, nie więcej niż </w:t>
      </w:r>
      <w:r w:rsidRPr="00362A50">
        <w:rPr>
          <w:rFonts w:ascii="Bookman Old Style" w:hAnsi="Bookman Old Style"/>
          <w:spacing w:val="-3"/>
          <w:sz w:val="20"/>
        </w:rPr>
        <w:sym w:font="Symbol" w:char="00B1"/>
      </w:r>
      <w:r w:rsidRPr="00362A50">
        <w:rPr>
          <w:rFonts w:ascii="Bookman Old Style" w:hAnsi="Bookman Old Style"/>
          <w:spacing w:val="-3"/>
          <w:sz w:val="20"/>
        </w:rPr>
        <w:t xml:space="preserve"> 1 %,</w:t>
      </w:r>
    </w:p>
    <w:p w14:paraId="3B26641B"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 xml:space="preserve">odchyłka w wysokości umieszczenia znaku, nie więcej niż </w:t>
      </w:r>
      <w:r w:rsidRPr="00362A50">
        <w:rPr>
          <w:rFonts w:ascii="Bookman Old Style" w:hAnsi="Bookman Old Style"/>
          <w:spacing w:val="-3"/>
          <w:sz w:val="20"/>
        </w:rPr>
        <w:sym w:font="Symbol" w:char="00B1"/>
      </w:r>
      <w:r w:rsidRPr="00362A50">
        <w:rPr>
          <w:rFonts w:ascii="Bookman Old Style" w:hAnsi="Bookman Old Style"/>
          <w:spacing w:val="-3"/>
          <w:sz w:val="20"/>
        </w:rPr>
        <w:t>2 cm,</w:t>
      </w:r>
    </w:p>
    <w:p w14:paraId="4ADB45DC" w14:textId="77777777" w:rsidR="00D1201F" w:rsidRPr="00362A50" w:rsidRDefault="00D1201F" w:rsidP="00D1201F">
      <w:pPr>
        <w:numPr>
          <w:ilvl w:val="1"/>
          <w:numId w:val="2"/>
        </w:numPr>
        <w:tabs>
          <w:tab w:val="clear" w:pos="502"/>
          <w:tab w:val="num" w:pos="0"/>
          <w:tab w:val="num" w:pos="284"/>
        </w:tabs>
        <w:ind w:left="0" w:firstLine="0"/>
        <w:jc w:val="both"/>
        <w:rPr>
          <w:rFonts w:ascii="Bookman Old Style" w:hAnsi="Bookman Old Style"/>
          <w:sz w:val="20"/>
          <w:szCs w:val="20"/>
        </w:rPr>
      </w:pPr>
      <w:r w:rsidRPr="00362A50">
        <w:rPr>
          <w:rFonts w:ascii="Bookman Old Style" w:hAnsi="Bookman Old Style"/>
          <w:spacing w:val="-3"/>
          <w:sz w:val="20"/>
        </w:rPr>
        <w:t>odchyłka</w:t>
      </w:r>
      <w:r w:rsidRPr="00362A50">
        <w:rPr>
          <w:rFonts w:ascii="Bookman Old Style" w:hAnsi="Bookman Old Style"/>
          <w:sz w:val="20"/>
          <w:szCs w:val="20"/>
        </w:rPr>
        <w:t xml:space="preserve"> w odległości ustawienia znaku od krawędzi jezdni, nie więcej niż </w:t>
      </w:r>
      <w:r w:rsidRPr="00362A50">
        <w:rPr>
          <w:rFonts w:ascii="Bookman Old Style" w:hAnsi="Bookman Old Style"/>
          <w:sz w:val="20"/>
          <w:szCs w:val="20"/>
        </w:rPr>
        <w:sym w:font="Symbol" w:char="00B1"/>
      </w:r>
      <w:r w:rsidRPr="00362A50">
        <w:rPr>
          <w:rFonts w:ascii="Bookman Old Style" w:hAnsi="Bookman Old Style"/>
          <w:sz w:val="20"/>
          <w:szCs w:val="20"/>
        </w:rPr>
        <w:t>5 cm, przy zachowaniu minimalnej odległości umieszczenia znaku zgodnie z załącznikiem nr 1 do rozporządzenia Ministra Infrastruktury z dnia 3 lipca 2003 r. w sprawie szczegółowych warunków technicznych dla znaków i sygnałów drogowych oraz urządzeń bezpieczeństwa ruchu drogowego i warunków ich umieszczania na drogach  [15].</w:t>
      </w:r>
    </w:p>
    <w:p w14:paraId="5913F1E5" w14:textId="77777777" w:rsidR="00D1201F" w:rsidRPr="00362A50" w:rsidRDefault="00D1201F" w:rsidP="00D1201F">
      <w:pPr>
        <w:tabs>
          <w:tab w:val="left" w:pos="782"/>
        </w:tabs>
        <w:jc w:val="both"/>
        <w:rPr>
          <w:rFonts w:ascii="Bookman Old Style" w:hAnsi="Bookman Old Style"/>
          <w:b/>
          <w:sz w:val="20"/>
          <w:u w:val="single"/>
        </w:rPr>
      </w:pPr>
      <w:r w:rsidRPr="00362A50">
        <w:rPr>
          <w:rFonts w:ascii="Bookman Old Style" w:hAnsi="Bookman Old Style"/>
          <w:b/>
          <w:sz w:val="20"/>
          <w:u w:val="single"/>
        </w:rPr>
        <w:t>5.5. Oznakowanie znaku</w:t>
      </w:r>
    </w:p>
    <w:p w14:paraId="6D33CA63" w14:textId="77777777" w:rsidR="00D1201F" w:rsidRPr="00362A50" w:rsidRDefault="00D1201F" w:rsidP="00D1201F">
      <w:pPr>
        <w:tabs>
          <w:tab w:val="left" w:pos="0"/>
        </w:tabs>
        <w:jc w:val="both"/>
        <w:rPr>
          <w:rFonts w:ascii="Bookman Old Style" w:hAnsi="Bookman Old Style"/>
          <w:sz w:val="20"/>
        </w:rPr>
      </w:pPr>
      <w:r w:rsidRPr="00362A50">
        <w:rPr>
          <w:rFonts w:ascii="Bookman Old Style" w:hAnsi="Bookman Old Style"/>
          <w:sz w:val="20"/>
        </w:rPr>
        <w:t>Każdy wykonany znak drogowy musi mieć naklejoną na rewersie naklejkę zawierającą następujące informacje:</w:t>
      </w:r>
    </w:p>
    <w:p w14:paraId="76E81CE4"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numer i datę normy tj. PN-EN 12899-1 [5],</w:t>
      </w:r>
    </w:p>
    <w:p w14:paraId="41A94A71"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klasy istotnych właściwości wyrobu,</w:t>
      </w:r>
    </w:p>
    <w:p w14:paraId="1699B562"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miesiąc i dwie ostatnie cyfry roku produkcji</w:t>
      </w:r>
    </w:p>
    <w:p w14:paraId="21D02C66"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nazwę, znak handlowy i inne oznaczenia identyfikujące producenta lub dostawcę jeśli nie jest producentem,</w:t>
      </w:r>
    </w:p>
    <w:p w14:paraId="4A43F695"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znak budowlany „B”,</w:t>
      </w:r>
    </w:p>
    <w:p w14:paraId="2C578E71"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numer aprobaty technicznej IBDiM,</w:t>
      </w:r>
    </w:p>
    <w:p w14:paraId="36005680" w14:textId="77777777" w:rsidR="00D1201F" w:rsidRPr="00362A50" w:rsidRDefault="00D1201F" w:rsidP="00D1201F">
      <w:pPr>
        <w:numPr>
          <w:ilvl w:val="1"/>
          <w:numId w:val="2"/>
        </w:numPr>
        <w:tabs>
          <w:tab w:val="num" w:pos="284"/>
        </w:tabs>
        <w:ind w:left="284" w:hanging="284"/>
        <w:jc w:val="both"/>
        <w:rPr>
          <w:rFonts w:ascii="Bookman Old Style" w:hAnsi="Bookman Old Style"/>
          <w:sz w:val="20"/>
        </w:rPr>
      </w:pPr>
      <w:r w:rsidRPr="00362A50">
        <w:rPr>
          <w:rFonts w:ascii="Bookman Old Style" w:hAnsi="Bookman Old Style"/>
          <w:spacing w:val="-3"/>
          <w:sz w:val="20"/>
        </w:rPr>
        <w:t>numer certyfikatu</w:t>
      </w:r>
      <w:r w:rsidRPr="00362A50">
        <w:rPr>
          <w:rFonts w:ascii="Bookman Old Style" w:hAnsi="Bookman Old Style"/>
          <w:sz w:val="20"/>
        </w:rPr>
        <w:t xml:space="preserve"> zgodności i numer jednostki certyfikującej.</w:t>
      </w:r>
    </w:p>
    <w:p w14:paraId="460330FC" w14:textId="77777777" w:rsidR="00D1201F" w:rsidRPr="00362A50" w:rsidRDefault="00D1201F" w:rsidP="00D1201F">
      <w:pPr>
        <w:tabs>
          <w:tab w:val="left" w:pos="0"/>
        </w:tabs>
        <w:jc w:val="both"/>
        <w:rPr>
          <w:rFonts w:ascii="Bookman Old Style" w:hAnsi="Bookman Old Style"/>
          <w:sz w:val="20"/>
        </w:rPr>
      </w:pPr>
      <w:r w:rsidRPr="00362A50">
        <w:rPr>
          <w:rFonts w:ascii="Bookman Old Style" w:hAnsi="Bookman Old Style"/>
          <w:sz w:val="20"/>
        </w:rPr>
        <w:t>Oznakowania powinny być wykonane w sposób trwały i wyraźny, czytelny z normalnej odległości widzenia, a całkowita powierzchnia naklejki nie była większa niż 30 cm</w:t>
      </w:r>
      <w:r w:rsidRPr="00362A50">
        <w:rPr>
          <w:rFonts w:ascii="Bookman Old Style" w:hAnsi="Bookman Old Style"/>
          <w:sz w:val="20"/>
          <w:vertAlign w:val="superscript"/>
        </w:rPr>
        <w:t>2</w:t>
      </w:r>
      <w:r w:rsidRPr="00362A50">
        <w:rPr>
          <w:rFonts w:ascii="Bookman Old Style" w:hAnsi="Bookman Old Style"/>
          <w:sz w:val="20"/>
        </w:rPr>
        <w:t xml:space="preserve"> . Czytelność i trwałość cechy na tylnej stronie tarczy znaku nie powinna być niższa od wymaganej trwałości znaku. Naklejkę należy wykonać z folii nie odblaskowej.</w:t>
      </w:r>
    </w:p>
    <w:p w14:paraId="037B0E24" w14:textId="77777777" w:rsidR="00D1201F" w:rsidRPr="00362A50" w:rsidRDefault="00D1201F" w:rsidP="00D1201F">
      <w:pPr>
        <w:spacing w:before="240"/>
        <w:jc w:val="both"/>
        <w:rPr>
          <w:rFonts w:ascii="Bookman Old Style" w:hAnsi="Bookman Old Style"/>
          <w:b/>
          <w:sz w:val="20"/>
        </w:rPr>
      </w:pPr>
      <w:r w:rsidRPr="00362A50">
        <w:rPr>
          <w:rFonts w:ascii="Bookman Old Style" w:hAnsi="Bookman Old Style"/>
          <w:b/>
          <w:sz w:val="20"/>
        </w:rPr>
        <w:t>6. KONTROLA JAKOŚCI ROBÓT</w:t>
      </w:r>
    </w:p>
    <w:p w14:paraId="22DA1F58"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6.1. Wymagania ogólne dotyczące kontroli jakości robót</w:t>
      </w:r>
    </w:p>
    <w:p w14:paraId="24F14983"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lastRenderedPageBreak/>
        <w:t xml:space="preserve">Ogólne zasady kontroli jakości robót podano w STWiORB </w:t>
      </w:r>
      <w:r>
        <w:rPr>
          <w:rFonts w:ascii="Bookman Old Style" w:hAnsi="Bookman Old Style"/>
          <w:sz w:val="20"/>
        </w:rPr>
        <w:t xml:space="preserve">D-00.00.00 </w:t>
      </w:r>
      <w:r w:rsidRPr="00362A50">
        <w:rPr>
          <w:rFonts w:ascii="Bookman Old Style" w:hAnsi="Bookman Old Style"/>
          <w:sz w:val="20"/>
        </w:rPr>
        <w:t>„Wymagania ogólne” pkt 6.</w:t>
      </w:r>
    </w:p>
    <w:p w14:paraId="579DF88F" w14:textId="77777777" w:rsidR="00D1201F" w:rsidRPr="00362A50" w:rsidRDefault="00D1201F" w:rsidP="00D1201F">
      <w:pPr>
        <w:pStyle w:val="StandardowytekstZnak"/>
        <w:rPr>
          <w:rFonts w:ascii="Bookman Old Style" w:hAnsi="Bookman Old Style"/>
          <w:b/>
          <w:u w:val="single"/>
        </w:rPr>
      </w:pPr>
      <w:r w:rsidRPr="00362A50">
        <w:rPr>
          <w:rFonts w:ascii="Bookman Old Style" w:hAnsi="Bookman Old Style"/>
          <w:b/>
          <w:u w:val="single"/>
        </w:rPr>
        <w:t>6.2. Badania materiałów do wykonania fundamentów betonowych</w:t>
      </w:r>
    </w:p>
    <w:p w14:paraId="62557B36"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 xml:space="preserve">Wykonawca powinien przeprowadzić badania materiałów do wykonania fundamentów betonowych „na mokro”. Uwzględniając nieskomplikowany charakter robót fundamentowych, na wniosek Wykonawcy, </w:t>
      </w:r>
      <w:r w:rsidRPr="00362A50">
        <w:rPr>
          <w:rFonts w:ascii="Bookman Old Style" w:hAnsi="Bookman Old Style"/>
          <w:sz w:val="20"/>
          <w:szCs w:val="20"/>
        </w:rPr>
        <w:t>Inżynier</w:t>
      </w:r>
      <w:r w:rsidRPr="00362A50">
        <w:rPr>
          <w:rFonts w:ascii="Bookman Old Style" w:hAnsi="Bookman Old Style"/>
          <w:sz w:val="20"/>
        </w:rPr>
        <w:t xml:space="preserve"> może zwolnić go z potrzeby wykonania badań materiałów dla tych robót.</w:t>
      </w:r>
    </w:p>
    <w:p w14:paraId="0464AABA" w14:textId="77777777" w:rsidR="00D1201F" w:rsidRPr="00362A50" w:rsidRDefault="00D1201F" w:rsidP="00D1201F">
      <w:pPr>
        <w:pStyle w:val="StandardowytekstZnak"/>
        <w:rPr>
          <w:rFonts w:ascii="Bookman Old Style" w:hAnsi="Bookman Old Style"/>
          <w:b/>
          <w:u w:val="single"/>
        </w:rPr>
      </w:pPr>
      <w:r w:rsidRPr="00362A50">
        <w:rPr>
          <w:rFonts w:ascii="Bookman Old Style" w:hAnsi="Bookman Old Style"/>
          <w:b/>
          <w:u w:val="single"/>
        </w:rPr>
        <w:t>6.3. Badania w czasie wykonywania robót</w:t>
      </w:r>
    </w:p>
    <w:p w14:paraId="24F64876" w14:textId="77777777" w:rsidR="00D1201F" w:rsidRPr="00362A50" w:rsidRDefault="00D1201F" w:rsidP="00D1201F">
      <w:pPr>
        <w:pStyle w:val="StylIwony"/>
        <w:spacing w:before="0" w:after="0"/>
        <w:rPr>
          <w:sz w:val="20"/>
        </w:rPr>
      </w:pPr>
      <w:r w:rsidRPr="00362A50">
        <w:rPr>
          <w:b/>
          <w:sz w:val="20"/>
        </w:rPr>
        <w:t xml:space="preserve">6.3.1. </w:t>
      </w:r>
      <w:r w:rsidRPr="00362A50">
        <w:rPr>
          <w:sz w:val="20"/>
        </w:rPr>
        <w:t>Badania materiałów w czasie wykonywania robót</w:t>
      </w:r>
    </w:p>
    <w:p w14:paraId="174694C3" w14:textId="77777777" w:rsidR="00D1201F" w:rsidRPr="00362A50" w:rsidRDefault="00D1201F" w:rsidP="00D1201F">
      <w:pPr>
        <w:pStyle w:val="StylIwony"/>
        <w:spacing w:before="0" w:after="0"/>
        <w:rPr>
          <w:sz w:val="20"/>
        </w:rPr>
      </w:pPr>
      <w:r w:rsidRPr="00362A50">
        <w:rPr>
          <w:sz w:val="20"/>
        </w:rPr>
        <w:t>Wszystkie materiały dostarczone na budowę z aprobatą techniczną lub z deklaracją zgodności wydaną przez producenta powinny być sprawdzone w zakresie powierzchni wyrobu i jego wymiarów.</w:t>
      </w:r>
    </w:p>
    <w:p w14:paraId="09C5B1AB" w14:textId="77777777" w:rsidR="00D1201F" w:rsidRPr="00362A50" w:rsidRDefault="00D1201F" w:rsidP="00D1201F">
      <w:pPr>
        <w:pStyle w:val="StylIwony"/>
        <w:spacing w:before="0" w:after="0"/>
        <w:rPr>
          <w:sz w:val="20"/>
        </w:rPr>
      </w:pPr>
      <w:r w:rsidRPr="00362A50">
        <w:rPr>
          <w:b/>
          <w:sz w:val="20"/>
        </w:rPr>
        <w:t>6.3.2. Kontrola w czasie wykonywania robót</w:t>
      </w:r>
    </w:p>
    <w:p w14:paraId="003DA2C6" w14:textId="77777777" w:rsidR="00D1201F" w:rsidRPr="00362A50" w:rsidRDefault="00D1201F" w:rsidP="00D1201F">
      <w:pPr>
        <w:pStyle w:val="StylIwony"/>
        <w:spacing w:before="0" w:after="0"/>
        <w:rPr>
          <w:sz w:val="20"/>
        </w:rPr>
      </w:pPr>
      <w:r w:rsidRPr="00362A50">
        <w:rPr>
          <w:sz w:val="20"/>
        </w:rPr>
        <w:t>W czasie wykonywania robót należy sprawdzać:</w:t>
      </w:r>
    </w:p>
    <w:p w14:paraId="579A3B81"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zgodność wykonania znaków pionowych z Dokumentacją Projektową (lokalizacja, wymiary, wysokość zamocowania znaków),</w:t>
      </w:r>
    </w:p>
    <w:p w14:paraId="52E998D5"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zachowanie dopuszczalnych odchyłek wymiarów, zgodnie z punktem 2 i 5,</w:t>
      </w:r>
    </w:p>
    <w:p w14:paraId="66990ADA"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prawidłowość wykonania wykopów pod konstrukcje wsporcze, zgodnie z punktem 5.3,</w:t>
      </w:r>
    </w:p>
    <w:p w14:paraId="1842477B"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poprawność wykonania fundamentów pod słupki zgodnie z punktem 5.3,</w:t>
      </w:r>
    </w:p>
    <w:p w14:paraId="41BCFDF2" w14:textId="77777777" w:rsidR="00D1201F" w:rsidRPr="00362A50" w:rsidRDefault="00D1201F" w:rsidP="00D1201F">
      <w:pPr>
        <w:numPr>
          <w:ilvl w:val="1"/>
          <w:numId w:val="2"/>
        </w:numPr>
        <w:tabs>
          <w:tab w:val="num" w:pos="284"/>
        </w:tabs>
        <w:ind w:left="284" w:hanging="284"/>
        <w:jc w:val="both"/>
        <w:rPr>
          <w:rFonts w:ascii="Bookman Old Style" w:hAnsi="Bookman Old Style"/>
          <w:sz w:val="20"/>
        </w:rPr>
      </w:pPr>
      <w:r w:rsidRPr="00362A50">
        <w:rPr>
          <w:rFonts w:ascii="Bookman Old Style" w:hAnsi="Bookman Old Style"/>
          <w:spacing w:val="-3"/>
          <w:sz w:val="20"/>
        </w:rPr>
        <w:t>poprawność</w:t>
      </w:r>
      <w:r w:rsidRPr="00362A50">
        <w:rPr>
          <w:rFonts w:ascii="Bookman Old Style" w:hAnsi="Bookman Old Style"/>
          <w:sz w:val="20"/>
        </w:rPr>
        <w:t xml:space="preserve"> ustawienia słupków i konstrukcji wsporczych, zgodnie z punktem 5.4.</w:t>
      </w:r>
    </w:p>
    <w:p w14:paraId="0A66F29A" w14:textId="77777777" w:rsidR="00D1201F" w:rsidRPr="00362A50" w:rsidRDefault="00D1201F" w:rsidP="00D1201F">
      <w:pPr>
        <w:spacing w:before="240"/>
        <w:jc w:val="both"/>
        <w:rPr>
          <w:rFonts w:ascii="Bookman Old Style" w:hAnsi="Bookman Old Style"/>
          <w:b/>
          <w:sz w:val="20"/>
        </w:rPr>
      </w:pPr>
      <w:r w:rsidRPr="00362A50">
        <w:rPr>
          <w:rFonts w:ascii="Bookman Old Style" w:hAnsi="Bookman Old Style"/>
          <w:b/>
          <w:sz w:val="20"/>
        </w:rPr>
        <w:t>7. OBMIAR ROBÓT</w:t>
      </w:r>
    </w:p>
    <w:p w14:paraId="2A75AE93"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7.1. Ogólne zasady obmiaru robót</w:t>
      </w:r>
    </w:p>
    <w:p w14:paraId="7FB712D1"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 xml:space="preserve">Ogólne zasady obmiaru robót podano w STWiORB </w:t>
      </w:r>
      <w:r>
        <w:rPr>
          <w:rFonts w:ascii="Bookman Old Style" w:hAnsi="Bookman Old Style"/>
          <w:sz w:val="20"/>
        </w:rPr>
        <w:t>D-00.00.00</w:t>
      </w:r>
      <w:r w:rsidRPr="00362A50">
        <w:rPr>
          <w:rFonts w:ascii="Bookman Old Style" w:hAnsi="Bookman Old Style"/>
          <w:sz w:val="20"/>
        </w:rPr>
        <w:t>. " Wymagania ogólne" pkt. 7.</w:t>
      </w:r>
    </w:p>
    <w:p w14:paraId="2D59DED4"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7.2. Jednostka obmiarowa</w:t>
      </w:r>
    </w:p>
    <w:p w14:paraId="6BC62B14" w14:textId="77777777" w:rsidR="00D1201F" w:rsidRPr="00362A50" w:rsidRDefault="00D1201F" w:rsidP="00D1201F">
      <w:pPr>
        <w:tabs>
          <w:tab w:val="num" w:pos="284"/>
        </w:tabs>
        <w:jc w:val="both"/>
        <w:rPr>
          <w:rFonts w:ascii="Bookman Old Style" w:hAnsi="Bookman Old Style"/>
          <w:sz w:val="20"/>
        </w:rPr>
      </w:pPr>
      <w:r w:rsidRPr="00362A50">
        <w:rPr>
          <w:rFonts w:ascii="Bookman Old Style" w:hAnsi="Bookman Old Style"/>
          <w:sz w:val="20"/>
        </w:rPr>
        <w:t>Jednostką obmiarową jest sztuka [szt.] - dla znaków oraz konstrukcji wsporczych.</w:t>
      </w:r>
    </w:p>
    <w:p w14:paraId="2C6F83B8" w14:textId="77777777" w:rsidR="00D1201F" w:rsidRPr="00362A50" w:rsidRDefault="00D1201F" w:rsidP="00D1201F">
      <w:pPr>
        <w:spacing w:before="240"/>
        <w:jc w:val="both"/>
        <w:rPr>
          <w:rFonts w:ascii="Bookman Old Style" w:hAnsi="Bookman Old Style"/>
          <w:b/>
          <w:sz w:val="20"/>
        </w:rPr>
      </w:pPr>
      <w:r w:rsidRPr="00362A50">
        <w:rPr>
          <w:rFonts w:ascii="Bookman Old Style" w:hAnsi="Bookman Old Style"/>
          <w:b/>
          <w:sz w:val="20"/>
        </w:rPr>
        <w:t>8. ODBIÓR ROBÓT</w:t>
      </w:r>
    </w:p>
    <w:p w14:paraId="4D1D0196"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8.1. Ogólne zasady odbioru robót</w:t>
      </w:r>
    </w:p>
    <w:p w14:paraId="6CD2A5DD"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 xml:space="preserve">Ogólne zasady odbioru robót podano w STWiORB </w:t>
      </w:r>
      <w:r>
        <w:rPr>
          <w:rFonts w:ascii="Bookman Old Style" w:hAnsi="Bookman Old Style"/>
          <w:sz w:val="20"/>
        </w:rPr>
        <w:t xml:space="preserve">D-00.00.00 </w:t>
      </w:r>
      <w:r w:rsidRPr="00362A50">
        <w:rPr>
          <w:rFonts w:ascii="Bookman Old Style" w:hAnsi="Bookman Old Style"/>
          <w:sz w:val="20"/>
        </w:rPr>
        <w:t>"Wymagania ogólne" pkt. 8.</w:t>
      </w:r>
    </w:p>
    <w:p w14:paraId="68320F56"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Roboty uznaje się za wykonane zgodnie z Dokumentacją Projektową, STWiORB i normami, jeżeli wszystkie pomiary i badania z zachowaniem tolerancji według punktu 6 dały wyniki pozytywne.</w:t>
      </w:r>
    </w:p>
    <w:p w14:paraId="6383406A"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8.2. Odbiór ostateczny</w:t>
      </w:r>
    </w:p>
    <w:p w14:paraId="3D4B0B1C"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Odbiór robót oznakowania pionowego dokonywany jest na zasadzie odbioru ostatecznego.</w:t>
      </w:r>
    </w:p>
    <w:p w14:paraId="02F5FA88"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Odbiór ostateczny powinien być dokonany po całkowitym zakończeniu robót, na podstawie wyników pomiarów i badań jakościowych określonych w punktach 2 i 5.</w:t>
      </w:r>
    </w:p>
    <w:p w14:paraId="3198E037"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8.3. Odbiór pogwarancyjny</w:t>
      </w:r>
    </w:p>
    <w:p w14:paraId="50DE6949"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 xml:space="preserve">Odbioru pogwarancyjnego należy dokonać po upływie okresu gwarancyjnego, ustalonego </w:t>
      </w:r>
      <w:r w:rsidRPr="00362A50">
        <w:rPr>
          <w:rFonts w:ascii="Bookman Old Style" w:hAnsi="Bookman Old Style"/>
          <w:sz w:val="20"/>
        </w:rPr>
        <w:br/>
        <w:t>w dokumentach kontraktowych.</w:t>
      </w:r>
    </w:p>
    <w:p w14:paraId="7F79F50D"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 xml:space="preserve">8.4. Zasady postępowania w przypadku wystąpienia wad i usterek </w:t>
      </w:r>
    </w:p>
    <w:p w14:paraId="04BAE445" w14:textId="77777777" w:rsidR="00D1201F" w:rsidRPr="00362A50" w:rsidRDefault="00D1201F" w:rsidP="00D1201F">
      <w:pPr>
        <w:ind w:right="-57"/>
        <w:jc w:val="both"/>
        <w:rPr>
          <w:rFonts w:ascii="Bookman Old Style" w:hAnsi="Bookman Old Style"/>
          <w:sz w:val="20"/>
        </w:rPr>
      </w:pPr>
      <w:r w:rsidRPr="00362A50">
        <w:rPr>
          <w:rFonts w:ascii="Bookman Old Style" w:hAnsi="Bookman Old Style"/>
          <w:sz w:val="20"/>
        </w:rPr>
        <w:t xml:space="preserve">W przypadku wystąpienia wad i usterek Wykonawca zobowiązany jest do ich usunięcia na własny koszt. Odbiór jest możliwy po spełnieniu wymagań określonych w punkcie 6. STWiORB. </w:t>
      </w:r>
    </w:p>
    <w:p w14:paraId="10D3D7F4" w14:textId="77777777" w:rsidR="00D1201F" w:rsidRPr="00362A50" w:rsidRDefault="00D1201F" w:rsidP="00D1201F">
      <w:pPr>
        <w:spacing w:before="240"/>
        <w:jc w:val="both"/>
        <w:rPr>
          <w:rFonts w:ascii="Bookman Old Style" w:hAnsi="Bookman Old Style"/>
          <w:b/>
          <w:sz w:val="20"/>
        </w:rPr>
      </w:pPr>
      <w:r w:rsidRPr="00362A50">
        <w:rPr>
          <w:rFonts w:ascii="Bookman Old Style" w:hAnsi="Bookman Old Style"/>
          <w:b/>
          <w:sz w:val="20"/>
        </w:rPr>
        <w:t>9. PODSTAWA PŁATNOŚCI</w:t>
      </w:r>
    </w:p>
    <w:p w14:paraId="2A10578D"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9.1. Ustalenia ogólne dotyczące podstawy płatności</w:t>
      </w:r>
    </w:p>
    <w:p w14:paraId="4FFB80A2"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 xml:space="preserve">Ustalenia ogólne dotyczące płatności podano w STWiORB </w:t>
      </w:r>
      <w:r>
        <w:rPr>
          <w:rFonts w:ascii="Bookman Old Style" w:hAnsi="Bookman Old Style"/>
          <w:sz w:val="20"/>
        </w:rPr>
        <w:t>D-00.00.00</w:t>
      </w:r>
      <w:r w:rsidRPr="00362A50">
        <w:rPr>
          <w:rFonts w:ascii="Bookman Old Style" w:hAnsi="Bookman Old Style"/>
          <w:sz w:val="20"/>
        </w:rPr>
        <w:t>. "Wymagania ogólne" pkt. 9.</w:t>
      </w:r>
    </w:p>
    <w:p w14:paraId="7E829A78"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9.2. Cena jednostki obmiarowej</w:t>
      </w:r>
    </w:p>
    <w:p w14:paraId="736CE2B4" w14:textId="77777777" w:rsidR="00D1201F" w:rsidRPr="00362A50" w:rsidRDefault="00D1201F" w:rsidP="00D1201F">
      <w:pPr>
        <w:jc w:val="both"/>
        <w:rPr>
          <w:rFonts w:ascii="Bookman Old Style" w:hAnsi="Bookman Old Style"/>
          <w:sz w:val="20"/>
        </w:rPr>
      </w:pPr>
      <w:r w:rsidRPr="00362A50">
        <w:rPr>
          <w:rFonts w:ascii="Bookman Old Style" w:hAnsi="Bookman Old Style"/>
          <w:sz w:val="20"/>
        </w:rPr>
        <w:t xml:space="preserve">Cena wykonania 1 szt. znaku wraz z konstrukcją wsporczą obejmuje: </w:t>
      </w:r>
    </w:p>
    <w:p w14:paraId="33420FFF"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roboty pomiarowe i przygotowawcze,</w:t>
      </w:r>
    </w:p>
    <w:p w14:paraId="086C862D"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koszt zapewnienia niezbędnych czynników produkcji,</w:t>
      </w:r>
    </w:p>
    <w:p w14:paraId="46642C56"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wykonanie fundamentów,</w:t>
      </w:r>
    </w:p>
    <w:p w14:paraId="0C05BDBB"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 xml:space="preserve">zakup, dostarczenie i ustawienie konstrukcji wsporczych, </w:t>
      </w:r>
    </w:p>
    <w:p w14:paraId="534C6448" w14:textId="77777777" w:rsidR="00D1201F" w:rsidRPr="00362A50" w:rsidRDefault="00D1201F" w:rsidP="00D1201F">
      <w:pPr>
        <w:numPr>
          <w:ilvl w:val="1"/>
          <w:numId w:val="2"/>
        </w:numPr>
        <w:tabs>
          <w:tab w:val="num" w:pos="284"/>
          <w:tab w:val="left" w:pos="2127"/>
        </w:tabs>
        <w:ind w:left="284" w:hanging="284"/>
        <w:jc w:val="both"/>
        <w:rPr>
          <w:rFonts w:ascii="Bookman Old Style" w:hAnsi="Bookman Old Style"/>
          <w:spacing w:val="-3"/>
          <w:sz w:val="20"/>
        </w:rPr>
      </w:pPr>
      <w:r w:rsidRPr="00362A50">
        <w:rPr>
          <w:rFonts w:ascii="Bookman Old Style" w:hAnsi="Bookman Old Style"/>
          <w:spacing w:val="-3"/>
          <w:sz w:val="20"/>
        </w:rPr>
        <w:t>zakup i zamocowanie tarcz znaków drogowych,</w:t>
      </w:r>
    </w:p>
    <w:p w14:paraId="34B00496"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przeprowadzenie pomiarów i badań zgodnie ze specyfikacja techniczną,</w:t>
      </w:r>
    </w:p>
    <w:p w14:paraId="5FACAD95"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uporządkowanie terenu,</w:t>
      </w:r>
    </w:p>
    <w:p w14:paraId="7E8C04B7" w14:textId="77777777" w:rsidR="00D1201F" w:rsidRPr="00362A50" w:rsidRDefault="00D1201F" w:rsidP="00D1201F">
      <w:pPr>
        <w:numPr>
          <w:ilvl w:val="1"/>
          <w:numId w:val="2"/>
        </w:numPr>
        <w:tabs>
          <w:tab w:val="num" w:pos="284"/>
        </w:tabs>
        <w:ind w:left="284" w:hanging="284"/>
        <w:jc w:val="both"/>
        <w:rPr>
          <w:rFonts w:ascii="Bookman Old Style" w:hAnsi="Bookman Old Style"/>
          <w:spacing w:val="-3"/>
          <w:sz w:val="20"/>
        </w:rPr>
      </w:pPr>
      <w:r w:rsidRPr="00362A50">
        <w:rPr>
          <w:rFonts w:ascii="Bookman Old Style" w:hAnsi="Bookman Old Style"/>
          <w:spacing w:val="-3"/>
          <w:sz w:val="20"/>
        </w:rPr>
        <w:t>wszystkie inne</w:t>
      </w:r>
      <w:r w:rsidRPr="00362A50">
        <w:rPr>
          <w:rFonts w:ascii="Bookman Old Style" w:hAnsi="Bookman Old Style"/>
          <w:sz w:val="20"/>
          <w:szCs w:val="20"/>
        </w:rPr>
        <w:t xml:space="preserve"> czynności nieujęte a konieczne do wykonania w ramach niniejszej specyfikacji.</w:t>
      </w:r>
    </w:p>
    <w:p w14:paraId="5C9DEDA5" w14:textId="77777777" w:rsidR="00D1201F" w:rsidRPr="00362A50" w:rsidRDefault="00D1201F" w:rsidP="00D1201F">
      <w:pPr>
        <w:jc w:val="both"/>
        <w:rPr>
          <w:rFonts w:ascii="Bookman Old Style" w:hAnsi="Bookman Old Style"/>
          <w:b/>
          <w:sz w:val="20"/>
        </w:rPr>
      </w:pPr>
    </w:p>
    <w:p w14:paraId="31B2B4E0" w14:textId="77777777" w:rsidR="00D1201F" w:rsidRPr="00362A50" w:rsidRDefault="00D1201F" w:rsidP="00D1201F">
      <w:pPr>
        <w:jc w:val="both"/>
        <w:rPr>
          <w:rFonts w:ascii="Bookman Old Style" w:hAnsi="Bookman Old Style"/>
          <w:b/>
          <w:sz w:val="20"/>
        </w:rPr>
      </w:pPr>
      <w:r w:rsidRPr="00362A50">
        <w:rPr>
          <w:rFonts w:ascii="Bookman Old Style" w:hAnsi="Bookman Old Style"/>
          <w:b/>
          <w:sz w:val="20"/>
        </w:rPr>
        <w:t>10. PRZEPISY ZWIĄZANE</w:t>
      </w:r>
    </w:p>
    <w:p w14:paraId="2FD1B85D"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10.1. Normy</w:t>
      </w:r>
    </w:p>
    <w:tbl>
      <w:tblPr>
        <w:tblW w:w="9215" w:type="dxa"/>
        <w:tblInd w:w="122" w:type="dxa"/>
        <w:tblCellMar>
          <w:left w:w="70" w:type="dxa"/>
          <w:right w:w="70" w:type="dxa"/>
        </w:tblCellMar>
        <w:tblLook w:val="0000" w:firstRow="0" w:lastRow="0" w:firstColumn="0" w:lastColumn="0" w:noHBand="0" w:noVBand="0"/>
      </w:tblPr>
      <w:tblGrid>
        <w:gridCol w:w="2089"/>
        <w:gridCol w:w="7126"/>
      </w:tblGrid>
      <w:tr w:rsidR="00D1201F" w:rsidRPr="00362A50" w14:paraId="1F92B1D5" w14:textId="77777777" w:rsidTr="00E37152">
        <w:trPr>
          <w:trHeight w:val="236"/>
        </w:trPr>
        <w:tc>
          <w:tcPr>
            <w:tcW w:w="2089" w:type="dxa"/>
          </w:tcPr>
          <w:p w14:paraId="1B9A8A19" w14:textId="77777777" w:rsidR="00D1201F" w:rsidRPr="00362A50" w:rsidRDefault="00D1201F" w:rsidP="00E37152">
            <w:pPr>
              <w:jc w:val="both"/>
              <w:rPr>
                <w:rFonts w:ascii="Bookman Old Style" w:hAnsi="Bookman Old Style"/>
                <w:sz w:val="20"/>
              </w:rPr>
            </w:pPr>
            <w:r w:rsidRPr="00362A50">
              <w:rPr>
                <w:rFonts w:ascii="Bookman Old Style" w:hAnsi="Bookman Old Style"/>
                <w:sz w:val="20"/>
              </w:rPr>
              <w:t>1.  PN-EN 206-1</w:t>
            </w:r>
          </w:p>
        </w:tc>
        <w:tc>
          <w:tcPr>
            <w:tcW w:w="7126" w:type="dxa"/>
          </w:tcPr>
          <w:p w14:paraId="12B0B169" w14:textId="77777777" w:rsidR="00D1201F" w:rsidRPr="00362A50" w:rsidRDefault="00D1201F" w:rsidP="00E37152">
            <w:pPr>
              <w:jc w:val="both"/>
              <w:rPr>
                <w:rFonts w:ascii="Bookman Old Style" w:hAnsi="Bookman Old Style"/>
                <w:sz w:val="20"/>
              </w:rPr>
            </w:pPr>
            <w:r w:rsidRPr="00362A50">
              <w:rPr>
                <w:rFonts w:ascii="Bookman Old Style" w:hAnsi="Bookman Old Style"/>
                <w:sz w:val="20"/>
              </w:rPr>
              <w:t>Beton. Część 1: Wymagania, właściwości, produkcja i zgodność.</w:t>
            </w:r>
          </w:p>
        </w:tc>
      </w:tr>
      <w:tr w:rsidR="00D1201F" w:rsidRPr="00362A50" w14:paraId="27870582" w14:textId="77777777" w:rsidTr="00E37152">
        <w:trPr>
          <w:trHeight w:val="472"/>
        </w:trPr>
        <w:tc>
          <w:tcPr>
            <w:tcW w:w="2089" w:type="dxa"/>
          </w:tcPr>
          <w:p w14:paraId="59BD040E" w14:textId="77777777" w:rsidR="00D1201F" w:rsidRPr="00362A50" w:rsidRDefault="00D1201F" w:rsidP="00E37152">
            <w:pPr>
              <w:jc w:val="both"/>
              <w:rPr>
                <w:rFonts w:ascii="Bookman Old Style" w:hAnsi="Bookman Old Style"/>
                <w:sz w:val="20"/>
              </w:rPr>
            </w:pPr>
            <w:r w:rsidRPr="00362A50">
              <w:rPr>
                <w:rFonts w:ascii="Bookman Old Style" w:hAnsi="Bookman Old Style"/>
                <w:sz w:val="20"/>
              </w:rPr>
              <w:t>2. PN-EN-197-1</w:t>
            </w:r>
          </w:p>
        </w:tc>
        <w:tc>
          <w:tcPr>
            <w:tcW w:w="7126" w:type="dxa"/>
          </w:tcPr>
          <w:p w14:paraId="43517875" w14:textId="77777777" w:rsidR="00D1201F" w:rsidRPr="00362A50" w:rsidRDefault="00D1201F" w:rsidP="00E37152">
            <w:pPr>
              <w:jc w:val="both"/>
              <w:rPr>
                <w:rFonts w:ascii="Bookman Old Style" w:hAnsi="Bookman Old Style"/>
                <w:sz w:val="20"/>
              </w:rPr>
            </w:pPr>
            <w:r w:rsidRPr="00362A50">
              <w:rPr>
                <w:rFonts w:ascii="Bookman Old Style" w:hAnsi="Bookman Old Style"/>
                <w:sz w:val="20"/>
              </w:rPr>
              <w:t>Cement. Część 1: Skład, wymagania i kryteria zgodności dotyczące cementu powszechnego użytku</w:t>
            </w:r>
          </w:p>
        </w:tc>
      </w:tr>
      <w:tr w:rsidR="00D1201F" w:rsidRPr="00362A50" w14:paraId="71578D88" w14:textId="77777777" w:rsidTr="00E37152">
        <w:trPr>
          <w:trHeight w:val="492"/>
        </w:trPr>
        <w:tc>
          <w:tcPr>
            <w:tcW w:w="2089" w:type="dxa"/>
          </w:tcPr>
          <w:p w14:paraId="01EB2060" w14:textId="77777777" w:rsidR="00D1201F" w:rsidRPr="00362A50" w:rsidRDefault="00D1201F" w:rsidP="00E37152">
            <w:pPr>
              <w:jc w:val="both"/>
              <w:rPr>
                <w:rFonts w:ascii="Bookman Old Style" w:hAnsi="Bookman Old Style"/>
                <w:sz w:val="20"/>
              </w:rPr>
            </w:pPr>
            <w:r w:rsidRPr="00362A50">
              <w:rPr>
                <w:rFonts w:ascii="Bookman Old Style" w:hAnsi="Bookman Old Style"/>
                <w:sz w:val="20"/>
              </w:rPr>
              <w:t>3. PN-EN 1008</w:t>
            </w:r>
          </w:p>
        </w:tc>
        <w:tc>
          <w:tcPr>
            <w:tcW w:w="7126" w:type="dxa"/>
          </w:tcPr>
          <w:p w14:paraId="3445B5AD" w14:textId="77777777" w:rsidR="00D1201F" w:rsidRPr="00362A50" w:rsidRDefault="00D1201F" w:rsidP="00E37152">
            <w:pPr>
              <w:jc w:val="both"/>
              <w:rPr>
                <w:rFonts w:ascii="Bookman Old Style" w:hAnsi="Bookman Old Style"/>
                <w:sz w:val="20"/>
              </w:rPr>
            </w:pPr>
            <w:r w:rsidRPr="00362A50">
              <w:rPr>
                <w:rFonts w:ascii="Bookman Old Style" w:hAnsi="Bookman Old Style"/>
                <w:sz w:val="20"/>
              </w:rPr>
              <w:t>Woda zarobowa do betonu. Specyfikacja pobierania próbek, badanie i ocena przydatności wody zarobowej do betonu, w tym wody odzyskanej procesów produkcji betonu.</w:t>
            </w:r>
          </w:p>
        </w:tc>
      </w:tr>
      <w:tr w:rsidR="00D1201F" w:rsidRPr="00362A50" w14:paraId="44A8AE28" w14:textId="77777777" w:rsidTr="00E37152">
        <w:trPr>
          <w:trHeight w:val="236"/>
        </w:trPr>
        <w:tc>
          <w:tcPr>
            <w:tcW w:w="2089" w:type="dxa"/>
          </w:tcPr>
          <w:p w14:paraId="46DD8986" w14:textId="77777777" w:rsidR="00D1201F" w:rsidRPr="00362A50" w:rsidRDefault="00D1201F" w:rsidP="00E37152">
            <w:pPr>
              <w:tabs>
                <w:tab w:val="left" w:pos="-720"/>
                <w:tab w:val="num" w:pos="426"/>
              </w:tabs>
              <w:suppressAutoHyphens/>
              <w:jc w:val="both"/>
              <w:rPr>
                <w:rFonts w:ascii="Bookman Old Style" w:hAnsi="Bookman Old Style"/>
                <w:sz w:val="20"/>
              </w:rPr>
            </w:pPr>
            <w:r w:rsidRPr="00362A50">
              <w:rPr>
                <w:rFonts w:ascii="Bookman Old Style" w:hAnsi="Bookman Old Style"/>
                <w:sz w:val="20"/>
              </w:rPr>
              <w:t>4. PN-EN 934-2</w:t>
            </w:r>
          </w:p>
        </w:tc>
        <w:tc>
          <w:tcPr>
            <w:tcW w:w="7126" w:type="dxa"/>
          </w:tcPr>
          <w:p w14:paraId="3BF1C1E8" w14:textId="77777777" w:rsidR="00D1201F" w:rsidRPr="00362A50" w:rsidRDefault="00D1201F" w:rsidP="00E37152">
            <w:pPr>
              <w:tabs>
                <w:tab w:val="left" w:pos="-720"/>
                <w:tab w:val="num" w:pos="426"/>
              </w:tabs>
              <w:suppressAutoHyphens/>
              <w:jc w:val="both"/>
              <w:rPr>
                <w:rFonts w:ascii="Bookman Old Style" w:hAnsi="Bookman Old Style"/>
                <w:sz w:val="20"/>
              </w:rPr>
            </w:pPr>
            <w:r w:rsidRPr="00362A50">
              <w:rPr>
                <w:rFonts w:ascii="Bookman Old Style" w:hAnsi="Bookman Old Style"/>
                <w:sz w:val="20"/>
              </w:rPr>
              <w:t xml:space="preserve">Domieszki do betonu, zaprawy i zaczynu. Domieszki do betonu. Definicje i wymagania.      </w:t>
            </w:r>
          </w:p>
        </w:tc>
      </w:tr>
      <w:tr w:rsidR="00D1201F" w:rsidRPr="00362A50" w14:paraId="73A3E820" w14:textId="77777777" w:rsidTr="00E37152">
        <w:trPr>
          <w:trHeight w:val="256"/>
        </w:trPr>
        <w:tc>
          <w:tcPr>
            <w:tcW w:w="2089" w:type="dxa"/>
          </w:tcPr>
          <w:p w14:paraId="162E1C4F" w14:textId="77777777" w:rsidR="00D1201F" w:rsidRPr="00362A50" w:rsidRDefault="00D1201F" w:rsidP="00E37152">
            <w:pPr>
              <w:pStyle w:val="Akapitzlist"/>
              <w:numPr>
                <w:ilvl w:val="0"/>
                <w:numId w:val="1"/>
              </w:numPr>
              <w:tabs>
                <w:tab w:val="clear" w:pos="360"/>
                <w:tab w:val="left" w:pos="-720"/>
                <w:tab w:val="num" w:pos="162"/>
                <w:tab w:val="num" w:pos="426"/>
              </w:tabs>
              <w:suppressAutoHyphens/>
              <w:jc w:val="both"/>
              <w:rPr>
                <w:rFonts w:ascii="Bookman Old Style" w:hAnsi="Bookman Old Style"/>
                <w:sz w:val="20"/>
              </w:rPr>
            </w:pPr>
            <w:r w:rsidRPr="00362A50">
              <w:rPr>
                <w:rFonts w:ascii="Bookman Old Style" w:hAnsi="Bookman Old Style"/>
                <w:sz w:val="20"/>
              </w:rPr>
              <w:t>PN-EN 12899-1</w:t>
            </w:r>
          </w:p>
        </w:tc>
        <w:tc>
          <w:tcPr>
            <w:tcW w:w="7126" w:type="dxa"/>
          </w:tcPr>
          <w:p w14:paraId="0200CC22" w14:textId="77777777" w:rsidR="00D1201F" w:rsidRPr="00362A50" w:rsidRDefault="00D1201F" w:rsidP="00E37152">
            <w:pPr>
              <w:tabs>
                <w:tab w:val="left" w:pos="-720"/>
                <w:tab w:val="num" w:pos="426"/>
              </w:tabs>
              <w:suppressAutoHyphens/>
              <w:jc w:val="both"/>
              <w:rPr>
                <w:rFonts w:ascii="Bookman Old Style" w:hAnsi="Bookman Old Style"/>
                <w:sz w:val="20"/>
              </w:rPr>
            </w:pPr>
            <w:r w:rsidRPr="00362A50">
              <w:rPr>
                <w:rFonts w:ascii="Bookman Old Style" w:hAnsi="Bookman Old Style"/>
                <w:sz w:val="20"/>
              </w:rPr>
              <w:t>Stałe, pionowe znaki drogowe - Część 1: Znaki stałe</w:t>
            </w:r>
          </w:p>
        </w:tc>
      </w:tr>
      <w:tr w:rsidR="00D1201F" w:rsidRPr="00362A50" w14:paraId="39E0FBCC" w14:textId="77777777" w:rsidTr="00E37152">
        <w:trPr>
          <w:trHeight w:val="236"/>
        </w:trPr>
        <w:tc>
          <w:tcPr>
            <w:tcW w:w="2089" w:type="dxa"/>
          </w:tcPr>
          <w:p w14:paraId="720D012B" w14:textId="77777777" w:rsidR="00D1201F" w:rsidRPr="00362A50" w:rsidRDefault="00D1201F" w:rsidP="00E37152">
            <w:pPr>
              <w:pStyle w:val="Akapitzlist"/>
              <w:numPr>
                <w:ilvl w:val="0"/>
                <w:numId w:val="1"/>
              </w:numPr>
              <w:tabs>
                <w:tab w:val="clear" w:pos="360"/>
                <w:tab w:val="left" w:pos="-720"/>
                <w:tab w:val="num" w:pos="162"/>
                <w:tab w:val="num" w:pos="426"/>
              </w:tabs>
              <w:suppressAutoHyphens/>
              <w:jc w:val="both"/>
              <w:rPr>
                <w:rFonts w:ascii="Bookman Old Style" w:hAnsi="Bookman Old Style"/>
                <w:sz w:val="20"/>
              </w:rPr>
            </w:pPr>
            <w:r w:rsidRPr="00362A50">
              <w:rPr>
                <w:rFonts w:ascii="Bookman Old Style" w:hAnsi="Bookman Old Style"/>
                <w:sz w:val="20"/>
              </w:rPr>
              <w:t>PN-H-74200</w:t>
            </w:r>
          </w:p>
        </w:tc>
        <w:tc>
          <w:tcPr>
            <w:tcW w:w="7126" w:type="dxa"/>
          </w:tcPr>
          <w:p w14:paraId="77F2D4F7" w14:textId="77777777" w:rsidR="00D1201F" w:rsidRPr="00362A50" w:rsidRDefault="00D1201F" w:rsidP="00E37152">
            <w:pPr>
              <w:tabs>
                <w:tab w:val="left" w:pos="-720"/>
                <w:tab w:val="num" w:pos="162"/>
                <w:tab w:val="num" w:pos="426"/>
              </w:tabs>
              <w:suppressAutoHyphens/>
              <w:jc w:val="both"/>
              <w:rPr>
                <w:rFonts w:ascii="Bookman Old Style" w:hAnsi="Bookman Old Style"/>
                <w:sz w:val="20"/>
              </w:rPr>
            </w:pPr>
            <w:r w:rsidRPr="00362A50">
              <w:rPr>
                <w:rFonts w:ascii="Bookman Old Style" w:hAnsi="Bookman Old Style"/>
                <w:sz w:val="20"/>
              </w:rPr>
              <w:t>Rury stalowe bez szwu ciągnione i walcowane na zimno ogólnego przeznaczenia</w:t>
            </w:r>
          </w:p>
        </w:tc>
      </w:tr>
      <w:tr w:rsidR="00D1201F" w:rsidRPr="00362A50" w14:paraId="5BBDC44F" w14:textId="77777777" w:rsidTr="00E37152">
        <w:trPr>
          <w:trHeight w:val="492"/>
        </w:trPr>
        <w:tc>
          <w:tcPr>
            <w:tcW w:w="2089" w:type="dxa"/>
          </w:tcPr>
          <w:p w14:paraId="07288287" w14:textId="77777777" w:rsidR="00D1201F" w:rsidRPr="00362A50" w:rsidRDefault="00D1201F" w:rsidP="00E37152">
            <w:pPr>
              <w:pStyle w:val="Akapitzlist"/>
              <w:numPr>
                <w:ilvl w:val="0"/>
                <w:numId w:val="1"/>
              </w:numPr>
              <w:tabs>
                <w:tab w:val="clear" w:pos="360"/>
                <w:tab w:val="left" w:pos="-720"/>
                <w:tab w:val="num" w:pos="162"/>
                <w:tab w:val="num" w:pos="426"/>
              </w:tabs>
              <w:suppressAutoHyphens/>
              <w:jc w:val="both"/>
              <w:rPr>
                <w:rFonts w:ascii="Bookman Old Style" w:hAnsi="Bookman Old Style"/>
                <w:sz w:val="20"/>
              </w:rPr>
            </w:pPr>
            <w:r w:rsidRPr="00362A50">
              <w:rPr>
                <w:rFonts w:ascii="Bookman Old Style" w:hAnsi="Bookman Old Style"/>
                <w:sz w:val="20"/>
              </w:rPr>
              <w:t>PN-EN 12767</w:t>
            </w:r>
          </w:p>
        </w:tc>
        <w:tc>
          <w:tcPr>
            <w:tcW w:w="7126" w:type="dxa"/>
          </w:tcPr>
          <w:p w14:paraId="3824181C" w14:textId="77777777" w:rsidR="00D1201F" w:rsidRPr="00362A50" w:rsidRDefault="00D1201F" w:rsidP="00E37152">
            <w:pPr>
              <w:tabs>
                <w:tab w:val="left" w:pos="-720"/>
                <w:tab w:val="num" w:pos="162"/>
                <w:tab w:val="num" w:pos="426"/>
              </w:tabs>
              <w:suppressAutoHyphens/>
              <w:jc w:val="both"/>
              <w:rPr>
                <w:rFonts w:ascii="Bookman Old Style" w:hAnsi="Bookman Old Style"/>
                <w:sz w:val="20"/>
              </w:rPr>
            </w:pPr>
            <w:r w:rsidRPr="00362A50">
              <w:rPr>
                <w:rFonts w:ascii="Bookman Old Style" w:hAnsi="Bookman Old Style"/>
                <w:sz w:val="20"/>
              </w:rPr>
              <w:t>Bierne bezpieczeństwo konstrukcji wsporczych dla urządzeń drogowych.  Wymagania i  metody badań.</w:t>
            </w:r>
          </w:p>
        </w:tc>
      </w:tr>
      <w:tr w:rsidR="00D1201F" w:rsidRPr="00362A50" w14:paraId="21AEA879" w14:textId="77777777" w:rsidTr="00E37152">
        <w:trPr>
          <w:trHeight w:val="472"/>
        </w:trPr>
        <w:tc>
          <w:tcPr>
            <w:tcW w:w="2089" w:type="dxa"/>
          </w:tcPr>
          <w:p w14:paraId="1A20F83F" w14:textId="77777777" w:rsidR="00D1201F" w:rsidRPr="00362A50" w:rsidRDefault="00D1201F" w:rsidP="00E37152">
            <w:pPr>
              <w:pStyle w:val="Akapitzlist"/>
              <w:numPr>
                <w:ilvl w:val="0"/>
                <w:numId w:val="1"/>
              </w:numPr>
              <w:tabs>
                <w:tab w:val="clear" w:pos="360"/>
                <w:tab w:val="left" w:pos="-720"/>
                <w:tab w:val="num" w:pos="162"/>
                <w:tab w:val="num" w:pos="426"/>
              </w:tabs>
              <w:suppressAutoHyphens/>
              <w:jc w:val="both"/>
              <w:rPr>
                <w:rFonts w:ascii="Bookman Old Style" w:hAnsi="Bookman Old Style"/>
                <w:sz w:val="20"/>
              </w:rPr>
            </w:pPr>
            <w:r w:rsidRPr="00362A50">
              <w:rPr>
                <w:rFonts w:ascii="Bookman Old Style" w:hAnsi="Bookman Old Style"/>
                <w:sz w:val="20"/>
              </w:rPr>
              <w:t>PN-EN ISO 1461</w:t>
            </w:r>
          </w:p>
        </w:tc>
        <w:tc>
          <w:tcPr>
            <w:tcW w:w="7126" w:type="dxa"/>
          </w:tcPr>
          <w:p w14:paraId="7DE051CA" w14:textId="77777777" w:rsidR="00D1201F" w:rsidRPr="00362A50" w:rsidRDefault="00D1201F" w:rsidP="00E37152">
            <w:pPr>
              <w:tabs>
                <w:tab w:val="left" w:pos="-720"/>
                <w:tab w:val="num" w:pos="162"/>
                <w:tab w:val="num" w:pos="426"/>
              </w:tabs>
              <w:suppressAutoHyphens/>
              <w:jc w:val="both"/>
              <w:rPr>
                <w:rFonts w:ascii="Bookman Old Style" w:hAnsi="Bookman Old Style"/>
                <w:sz w:val="20"/>
              </w:rPr>
            </w:pPr>
            <w:r w:rsidRPr="00362A50">
              <w:rPr>
                <w:rFonts w:ascii="Bookman Old Style" w:hAnsi="Bookman Old Style"/>
                <w:sz w:val="20"/>
              </w:rPr>
              <w:t>Powłoki cynkowe nanoszone na stal metodą zanurzeniową (cynkowanie jednostkowe).Wymaganie i badanie.</w:t>
            </w:r>
          </w:p>
        </w:tc>
      </w:tr>
      <w:tr w:rsidR="00D1201F" w:rsidRPr="00362A50" w14:paraId="767F9D27" w14:textId="77777777" w:rsidTr="00E37152">
        <w:trPr>
          <w:trHeight w:val="492"/>
        </w:trPr>
        <w:tc>
          <w:tcPr>
            <w:tcW w:w="2089" w:type="dxa"/>
          </w:tcPr>
          <w:p w14:paraId="4481E7A0" w14:textId="77777777" w:rsidR="00D1201F" w:rsidRPr="00362A50" w:rsidRDefault="00D1201F" w:rsidP="00E37152">
            <w:pPr>
              <w:pStyle w:val="Akapitzlist"/>
              <w:numPr>
                <w:ilvl w:val="0"/>
                <w:numId w:val="1"/>
              </w:numPr>
              <w:tabs>
                <w:tab w:val="clear" w:pos="360"/>
                <w:tab w:val="left" w:pos="-720"/>
                <w:tab w:val="num" w:pos="162"/>
                <w:tab w:val="num" w:pos="426"/>
              </w:tabs>
              <w:suppressAutoHyphens/>
              <w:jc w:val="both"/>
              <w:rPr>
                <w:rFonts w:ascii="Bookman Old Style" w:hAnsi="Bookman Old Style"/>
                <w:sz w:val="20"/>
              </w:rPr>
            </w:pPr>
            <w:r w:rsidRPr="00362A50">
              <w:rPr>
                <w:rFonts w:ascii="Bookman Old Style" w:hAnsi="Bookman Old Style"/>
                <w:sz w:val="20"/>
              </w:rPr>
              <w:t>PN-EN 10240</w:t>
            </w:r>
          </w:p>
        </w:tc>
        <w:tc>
          <w:tcPr>
            <w:tcW w:w="7126" w:type="dxa"/>
          </w:tcPr>
          <w:p w14:paraId="469FAB68" w14:textId="77777777" w:rsidR="00D1201F" w:rsidRPr="00362A50" w:rsidRDefault="00D1201F" w:rsidP="00E37152">
            <w:pPr>
              <w:tabs>
                <w:tab w:val="left" w:pos="-720"/>
                <w:tab w:val="num" w:pos="162"/>
                <w:tab w:val="num" w:pos="426"/>
              </w:tabs>
              <w:suppressAutoHyphens/>
              <w:jc w:val="both"/>
              <w:rPr>
                <w:rFonts w:ascii="Bookman Old Style" w:hAnsi="Bookman Old Style"/>
                <w:sz w:val="20"/>
              </w:rPr>
            </w:pPr>
            <w:r w:rsidRPr="00362A50">
              <w:rPr>
                <w:rFonts w:ascii="Bookman Old Style" w:hAnsi="Bookman Old Style"/>
                <w:sz w:val="20"/>
              </w:rPr>
              <w:t>Wewnętrzne i/lub zewnętrzne powłoki ochronne rur stalowych. Wymagania dotyczące  powłok wykonanych przez cynkowanie ogniowe w ocynkowniach zautomatyzowanych</w:t>
            </w:r>
          </w:p>
        </w:tc>
      </w:tr>
      <w:tr w:rsidR="00D1201F" w:rsidRPr="00362A50" w14:paraId="4EF9040B" w14:textId="77777777" w:rsidTr="00E37152">
        <w:trPr>
          <w:trHeight w:val="236"/>
        </w:trPr>
        <w:tc>
          <w:tcPr>
            <w:tcW w:w="2089" w:type="dxa"/>
          </w:tcPr>
          <w:p w14:paraId="18BCE259" w14:textId="77777777" w:rsidR="00D1201F" w:rsidRPr="00362A50" w:rsidRDefault="00D1201F" w:rsidP="00E37152">
            <w:pPr>
              <w:pStyle w:val="Akapitzlist"/>
              <w:numPr>
                <w:ilvl w:val="0"/>
                <w:numId w:val="1"/>
              </w:numPr>
              <w:tabs>
                <w:tab w:val="clear" w:pos="360"/>
                <w:tab w:val="left" w:pos="-720"/>
                <w:tab w:val="num" w:pos="162"/>
                <w:tab w:val="num" w:pos="426"/>
              </w:tabs>
              <w:suppressAutoHyphens/>
              <w:jc w:val="both"/>
              <w:rPr>
                <w:rFonts w:ascii="Bookman Old Style" w:hAnsi="Bookman Old Style"/>
                <w:sz w:val="20"/>
              </w:rPr>
            </w:pPr>
            <w:r w:rsidRPr="00362A50">
              <w:rPr>
                <w:rFonts w:ascii="Bookman Old Style" w:hAnsi="Bookman Old Style"/>
                <w:sz w:val="20"/>
              </w:rPr>
              <w:t>PN-EN 10346</w:t>
            </w:r>
          </w:p>
        </w:tc>
        <w:tc>
          <w:tcPr>
            <w:tcW w:w="7126" w:type="dxa"/>
          </w:tcPr>
          <w:p w14:paraId="21442981" w14:textId="77777777" w:rsidR="00D1201F" w:rsidRPr="00362A50" w:rsidRDefault="00D1201F" w:rsidP="00E37152">
            <w:pPr>
              <w:tabs>
                <w:tab w:val="left" w:pos="-720"/>
                <w:tab w:val="num" w:pos="162"/>
                <w:tab w:val="num" w:pos="426"/>
              </w:tabs>
              <w:suppressAutoHyphens/>
              <w:jc w:val="both"/>
              <w:rPr>
                <w:rFonts w:ascii="Bookman Old Style" w:hAnsi="Bookman Old Style"/>
                <w:sz w:val="20"/>
              </w:rPr>
            </w:pPr>
            <w:r w:rsidRPr="00362A50">
              <w:rPr>
                <w:rFonts w:ascii="Bookman Old Style" w:hAnsi="Bookman Old Style"/>
                <w:sz w:val="20"/>
              </w:rPr>
              <w:t>Wyroby płaskie stalowe powlekane ogniowo w sposób ciągły.Warunki techniczne dostawy</w:t>
            </w:r>
          </w:p>
        </w:tc>
      </w:tr>
      <w:tr w:rsidR="00D1201F" w:rsidRPr="00362A50" w14:paraId="747DC3BC" w14:textId="77777777" w:rsidTr="00E37152">
        <w:trPr>
          <w:trHeight w:val="236"/>
        </w:trPr>
        <w:tc>
          <w:tcPr>
            <w:tcW w:w="2089" w:type="dxa"/>
          </w:tcPr>
          <w:p w14:paraId="421CED17" w14:textId="77777777" w:rsidR="00D1201F" w:rsidRPr="00362A50" w:rsidRDefault="00D1201F" w:rsidP="00E37152">
            <w:pPr>
              <w:pStyle w:val="Akapitzlist"/>
              <w:numPr>
                <w:ilvl w:val="0"/>
                <w:numId w:val="1"/>
              </w:numPr>
              <w:tabs>
                <w:tab w:val="clear" w:pos="360"/>
                <w:tab w:val="left" w:pos="-720"/>
                <w:tab w:val="num" w:pos="162"/>
                <w:tab w:val="num" w:pos="426"/>
              </w:tabs>
              <w:suppressAutoHyphens/>
              <w:jc w:val="both"/>
              <w:rPr>
                <w:rFonts w:ascii="Bookman Old Style" w:hAnsi="Bookman Old Style"/>
                <w:sz w:val="20"/>
              </w:rPr>
            </w:pPr>
            <w:r w:rsidRPr="00362A50">
              <w:rPr>
                <w:rFonts w:ascii="Bookman Old Style" w:hAnsi="Bookman Old Style"/>
                <w:sz w:val="20"/>
              </w:rPr>
              <w:t>PN-EN ISO 9227</w:t>
            </w:r>
          </w:p>
        </w:tc>
        <w:tc>
          <w:tcPr>
            <w:tcW w:w="7126" w:type="dxa"/>
          </w:tcPr>
          <w:p w14:paraId="6AC0760D" w14:textId="77777777" w:rsidR="00D1201F" w:rsidRPr="00362A50" w:rsidRDefault="00D1201F" w:rsidP="00E37152">
            <w:pPr>
              <w:tabs>
                <w:tab w:val="left" w:pos="-720"/>
                <w:tab w:val="num" w:pos="162"/>
                <w:tab w:val="num" w:pos="426"/>
              </w:tabs>
              <w:suppressAutoHyphens/>
              <w:jc w:val="both"/>
              <w:rPr>
                <w:rFonts w:ascii="Bookman Old Style" w:hAnsi="Bookman Old Style"/>
                <w:sz w:val="20"/>
              </w:rPr>
            </w:pPr>
            <w:r w:rsidRPr="00362A50">
              <w:rPr>
                <w:rFonts w:ascii="Bookman Old Style" w:hAnsi="Bookman Old Style"/>
                <w:sz w:val="20"/>
              </w:rPr>
              <w:t>Badania korozyjne w sztucznych atmosferach. Badania w rozpylonej solance</w:t>
            </w:r>
          </w:p>
        </w:tc>
      </w:tr>
      <w:tr w:rsidR="00D1201F" w:rsidRPr="00362A50" w14:paraId="72C11448" w14:textId="77777777" w:rsidTr="00E37152">
        <w:trPr>
          <w:trHeight w:val="256"/>
        </w:trPr>
        <w:tc>
          <w:tcPr>
            <w:tcW w:w="2089" w:type="dxa"/>
          </w:tcPr>
          <w:p w14:paraId="17CAFC89" w14:textId="77777777" w:rsidR="00D1201F" w:rsidRPr="00362A50" w:rsidRDefault="00D1201F" w:rsidP="00E37152">
            <w:pPr>
              <w:pStyle w:val="Akapitzlist"/>
              <w:numPr>
                <w:ilvl w:val="0"/>
                <w:numId w:val="1"/>
              </w:numPr>
              <w:tabs>
                <w:tab w:val="clear" w:pos="360"/>
                <w:tab w:val="left" w:pos="-720"/>
                <w:tab w:val="num" w:pos="162"/>
                <w:tab w:val="num" w:pos="426"/>
              </w:tabs>
              <w:suppressAutoHyphens/>
              <w:jc w:val="both"/>
              <w:rPr>
                <w:rFonts w:ascii="Bookman Old Style" w:hAnsi="Bookman Old Style"/>
                <w:sz w:val="20"/>
              </w:rPr>
            </w:pPr>
            <w:r w:rsidRPr="00362A50">
              <w:rPr>
                <w:rFonts w:ascii="Bookman Old Style" w:hAnsi="Bookman Old Style"/>
                <w:sz w:val="20"/>
              </w:rPr>
              <w:t>PN-EN ISO 2808</w:t>
            </w:r>
          </w:p>
        </w:tc>
        <w:tc>
          <w:tcPr>
            <w:tcW w:w="7126" w:type="dxa"/>
          </w:tcPr>
          <w:p w14:paraId="6146C359" w14:textId="77777777" w:rsidR="00D1201F" w:rsidRPr="00362A50" w:rsidRDefault="00D1201F" w:rsidP="00E37152">
            <w:pPr>
              <w:tabs>
                <w:tab w:val="left" w:pos="-720"/>
                <w:tab w:val="num" w:pos="162"/>
                <w:tab w:val="num" w:pos="426"/>
                <w:tab w:val="left" w:pos="709"/>
                <w:tab w:val="center" w:pos="4536"/>
                <w:tab w:val="right" w:pos="9072"/>
              </w:tabs>
              <w:suppressAutoHyphens/>
              <w:jc w:val="both"/>
              <w:rPr>
                <w:rFonts w:ascii="Bookman Old Style" w:hAnsi="Bookman Old Style"/>
                <w:sz w:val="20"/>
              </w:rPr>
            </w:pPr>
            <w:r w:rsidRPr="00362A50">
              <w:rPr>
                <w:rFonts w:ascii="Bookman Old Style" w:hAnsi="Bookman Old Style"/>
                <w:sz w:val="20"/>
              </w:rPr>
              <w:t>Farby i lakiery. Oznaczanie grubości powłoki.</w:t>
            </w:r>
          </w:p>
        </w:tc>
      </w:tr>
      <w:tr w:rsidR="00D1201F" w:rsidRPr="00362A50" w14:paraId="1BFE72E4" w14:textId="77777777" w:rsidTr="00E37152">
        <w:trPr>
          <w:trHeight w:val="236"/>
        </w:trPr>
        <w:tc>
          <w:tcPr>
            <w:tcW w:w="2089" w:type="dxa"/>
          </w:tcPr>
          <w:p w14:paraId="7433FE05" w14:textId="77777777" w:rsidR="00D1201F" w:rsidRPr="00362A50" w:rsidRDefault="00D1201F" w:rsidP="00E37152">
            <w:pPr>
              <w:pStyle w:val="Akapitzlist"/>
              <w:numPr>
                <w:ilvl w:val="0"/>
                <w:numId w:val="1"/>
              </w:numPr>
              <w:tabs>
                <w:tab w:val="clear" w:pos="360"/>
                <w:tab w:val="left" w:pos="-720"/>
                <w:tab w:val="num" w:pos="162"/>
                <w:tab w:val="num" w:pos="426"/>
              </w:tabs>
              <w:suppressAutoHyphens/>
              <w:jc w:val="both"/>
              <w:rPr>
                <w:rFonts w:ascii="Bookman Old Style" w:hAnsi="Bookman Old Style"/>
                <w:sz w:val="20"/>
              </w:rPr>
            </w:pPr>
            <w:r w:rsidRPr="00362A50">
              <w:rPr>
                <w:rFonts w:ascii="Bookman Old Style" w:hAnsi="Bookman Old Style"/>
                <w:sz w:val="20"/>
              </w:rPr>
              <w:t>PN-S-02205</w:t>
            </w:r>
          </w:p>
        </w:tc>
        <w:tc>
          <w:tcPr>
            <w:tcW w:w="7126" w:type="dxa"/>
          </w:tcPr>
          <w:p w14:paraId="09A50D5E" w14:textId="77777777" w:rsidR="00D1201F" w:rsidRPr="00362A50" w:rsidRDefault="00D1201F" w:rsidP="00E37152">
            <w:pPr>
              <w:tabs>
                <w:tab w:val="left" w:pos="-720"/>
                <w:tab w:val="num" w:pos="162"/>
                <w:tab w:val="num" w:pos="426"/>
                <w:tab w:val="left" w:pos="709"/>
                <w:tab w:val="center" w:pos="4536"/>
                <w:tab w:val="right" w:pos="9072"/>
              </w:tabs>
              <w:suppressAutoHyphens/>
              <w:jc w:val="both"/>
              <w:rPr>
                <w:rFonts w:ascii="Bookman Old Style" w:hAnsi="Bookman Old Style"/>
                <w:sz w:val="20"/>
              </w:rPr>
            </w:pPr>
            <w:r w:rsidRPr="00362A50">
              <w:rPr>
                <w:rFonts w:ascii="Bookman Old Style" w:hAnsi="Bookman Old Style"/>
                <w:sz w:val="20"/>
              </w:rPr>
              <w:t>Drogi samochodowe - Roboty ziemne - Wymagania i badania</w:t>
            </w:r>
          </w:p>
        </w:tc>
      </w:tr>
      <w:tr w:rsidR="00D1201F" w:rsidRPr="00362A50" w14:paraId="2D78FE25" w14:textId="77777777" w:rsidTr="00E37152">
        <w:trPr>
          <w:trHeight w:val="236"/>
        </w:trPr>
        <w:tc>
          <w:tcPr>
            <w:tcW w:w="2089" w:type="dxa"/>
          </w:tcPr>
          <w:p w14:paraId="0B8A60F5" w14:textId="77777777" w:rsidR="00D1201F" w:rsidRPr="00362A50" w:rsidRDefault="00D1201F" w:rsidP="00E37152">
            <w:pPr>
              <w:pStyle w:val="Akapitzlist"/>
              <w:numPr>
                <w:ilvl w:val="0"/>
                <w:numId w:val="1"/>
              </w:numPr>
              <w:tabs>
                <w:tab w:val="clear" w:pos="360"/>
                <w:tab w:val="left" w:pos="-720"/>
                <w:tab w:val="num" w:pos="162"/>
                <w:tab w:val="num" w:pos="426"/>
              </w:tabs>
              <w:suppressAutoHyphens/>
              <w:jc w:val="both"/>
              <w:rPr>
                <w:rFonts w:ascii="Bookman Old Style" w:hAnsi="Bookman Old Style"/>
                <w:sz w:val="20"/>
              </w:rPr>
            </w:pPr>
            <w:r w:rsidRPr="00362A50">
              <w:rPr>
                <w:rFonts w:ascii="Bookman Old Style" w:hAnsi="Bookman Old Style"/>
                <w:sz w:val="20"/>
              </w:rPr>
              <w:t>PN-M-69011</w:t>
            </w:r>
          </w:p>
        </w:tc>
        <w:tc>
          <w:tcPr>
            <w:tcW w:w="7126" w:type="dxa"/>
          </w:tcPr>
          <w:p w14:paraId="56B65F75" w14:textId="77777777" w:rsidR="00D1201F" w:rsidRPr="00362A50" w:rsidRDefault="00D1201F" w:rsidP="00E37152">
            <w:pPr>
              <w:tabs>
                <w:tab w:val="left" w:pos="-720"/>
                <w:tab w:val="num" w:pos="162"/>
                <w:tab w:val="num" w:pos="426"/>
              </w:tabs>
              <w:suppressAutoHyphens/>
              <w:jc w:val="both"/>
              <w:rPr>
                <w:rFonts w:ascii="Bookman Old Style" w:hAnsi="Bookman Old Style"/>
                <w:sz w:val="20"/>
              </w:rPr>
            </w:pPr>
            <w:r w:rsidRPr="00362A50">
              <w:rPr>
                <w:rFonts w:ascii="Bookman Old Style" w:hAnsi="Bookman Old Style"/>
                <w:sz w:val="20"/>
              </w:rPr>
              <w:t>Spawalnictwo. Złącza spawane w konstrukcjach spawanych. Podział i wymagania</w:t>
            </w:r>
          </w:p>
        </w:tc>
      </w:tr>
    </w:tbl>
    <w:p w14:paraId="15BAA7D6" w14:textId="77777777" w:rsidR="00D1201F" w:rsidRPr="00362A50" w:rsidRDefault="00D1201F" w:rsidP="00D1201F">
      <w:pPr>
        <w:tabs>
          <w:tab w:val="left" w:pos="-720"/>
        </w:tabs>
        <w:suppressAutoHyphens/>
        <w:jc w:val="both"/>
        <w:rPr>
          <w:rFonts w:ascii="Bookman Old Style" w:hAnsi="Bookman Old Style"/>
          <w:spacing w:val="-3"/>
          <w:sz w:val="20"/>
        </w:rPr>
      </w:pPr>
    </w:p>
    <w:p w14:paraId="34C580C7" w14:textId="77777777" w:rsidR="00D1201F" w:rsidRPr="00362A50" w:rsidRDefault="00D1201F" w:rsidP="00D1201F">
      <w:pPr>
        <w:jc w:val="both"/>
        <w:rPr>
          <w:rFonts w:ascii="Bookman Old Style" w:hAnsi="Bookman Old Style"/>
          <w:b/>
          <w:sz w:val="20"/>
          <w:u w:val="single"/>
        </w:rPr>
      </w:pPr>
      <w:r w:rsidRPr="00362A50">
        <w:rPr>
          <w:rFonts w:ascii="Bookman Old Style" w:hAnsi="Bookman Old Style"/>
          <w:b/>
          <w:sz w:val="20"/>
          <w:u w:val="single"/>
        </w:rPr>
        <w:t>10.2. Inne dokumenty</w:t>
      </w:r>
    </w:p>
    <w:p w14:paraId="17EA2970" w14:textId="77777777" w:rsidR="00D1201F" w:rsidRPr="00362A50" w:rsidRDefault="00D1201F" w:rsidP="00D1201F">
      <w:pPr>
        <w:pStyle w:val="Akapitzlist"/>
        <w:numPr>
          <w:ilvl w:val="0"/>
          <w:numId w:val="4"/>
        </w:numPr>
        <w:tabs>
          <w:tab w:val="left" w:pos="-720"/>
        </w:tabs>
        <w:suppressAutoHyphens/>
        <w:jc w:val="both"/>
        <w:rPr>
          <w:rFonts w:ascii="Bookman Old Style" w:hAnsi="Bookman Old Style"/>
          <w:spacing w:val="-3"/>
          <w:sz w:val="20"/>
        </w:rPr>
      </w:pPr>
      <w:r w:rsidRPr="00362A50">
        <w:rPr>
          <w:rFonts w:ascii="Bookman Old Style" w:hAnsi="Bookman Old Style"/>
          <w:spacing w:val="-3"/>
          <w:sz w:val="20"/>
        </w:rPr>
        <w:t>Szczegółowe warunki techniczne dla znaków drogowych pionowych i warunki ich umieszczania na drogach – załącznik nr 1 do rozporządzenia Ministra Infrastruktury z dnia 3 lipca 2003 r. w sprawie szczegółowych warunków technicznych dla znaków i sygnałów drogowych oraz urządzeń bezpieczeństwa ruchu drogowego i warunków ich umieszczania na drogach.</w:t>
      </w:r>
    </w:p>
    <w:p w14:paraId="0D446AAF" w14:textId="77777777" w:rsidR="00D1201F" w:rsidRPr="00362A50" w:rsidRDefault="00D1201F" w:rsidP="00D1201F">
      <w:pPr>
        <w:numPr>
          <w:ilvl w:val="0"/>
          <w:numId w:val="4"/>
        </w:numPr>
        <w:tabs>
          <w:tab w:val="left" w:pos="-720"/>
        </w:tabs>
        <w:suppressAutoHyphens/>
        <w:jc w:val="both"/>
        <w:rPr>
          <w:rFonts w:ascii="Bookman Old Style" w:hAnsi="Bookman Old Style"/>
          <w:spacing w:val="-3"/>
          <w:sz w:val="20"/>
        </w:rPr>
      </w:pPr>
      <w:r w:rsidRPr="00362A50">
        <w:rPr>
          <w:rFonts w:ascii="Bookman Old Style" w:hAnsi="Bookman Old Style"/>
          <w:spacing w:val="-3"/>
          <w:sz w:val="20"/>
        </w:rPr>
        <w:t xml:space="preserve">Załączniki nr 1 i 4 do rozporządzenia Ministra Infrastruktury z dnia 3 lipca 2003 w sprawie szczegółowych warunków technicznych dla znaków i sygnałów drogowych oraz urządzeń bezpieczeństwa ruchu drogowego </w:t>
      </w:r>
      <w:r w:rsidRPr="00362A50">
        <w:rPr>
          <w:rFonts w:ascii="Bookman Old Style" w:hAnsi="Bookman Old Style"/>
          <w:spacing w:val="-3"/>
          <w:sz w:val="20"/>
        </w:rPr>
        <w:br/>
        <w:t>i warunków ich umieszczania na drogach (Dz. U. nr 220, poz. 2181)</w:t>
      </w:r>
    </w:p>
    <w:p w14:paraId="14BD6982" w14:textId="77777777" w:rsidR="00D1201F" w:rsidRPr="00362A50" w:rsidRDefault="00D1201F" w:rsidP="00D1201F">
      <w:pPr>
        <w:numPr>
          <w:ilvl w:val="0"/>
          <w:numId w:val="4"/>
        </w:numPr>
        <w:tabs>
          <w:tab w:val="left" w:pos="-720"/>
        </w:tabs>
        <w:suppressAutoHyphens/>
        <w:jc w:val="both"/>
        <w:rPr>
          <w:rFonts w:ascii="Bookman Old Style" w:hAnsi="Bookman Old Style"/>
          <w:spacing w:val="-3"/>
          <w:sz w:val="20"/>
        </w:rPr>
      </w:pPr>
      <w:r w:rsidRPr="00362A50">
        <w:rPr>
          <w:rFonts w:ascii="Bookman Old Style" w:hAnsi="Bookman Old Style"/>
          <w:spacing w:val="-3"/>
          <w:sz w:val="20"/>
        </w:rPr>
        <w:t>Rozporządzenie Ministra Infrastruktury z dn. 11 sierpnia 2004 r. w sprawie sposobów deklarowania zgodności wyrobów budowlanych oraz sposobu znakowania ich znakiem budowlanym (Dz. U. nr 198, poz. 2041)</w:t>
      </w:r>
    </w:p>
    <w:p w14:paraId="418560F7" w14:textId="77777777" w:rsidR="00D1201F" w:rsidRPr="00362A50" w:rsidRDefault="00D1201F" w:rsidP="00D1201F">
      <w:pPr>
        <w:numPr>
          <w:ilvl w:val="0"/>
          <w:numId w:val="4"/>
        </w:numPr>
        <w:tabs>
          <w:tab w:val="left" w:pos="-720"/>
        </w:tabs>
        <w:suppressAutoHyphens/>
        <w:jc w:val="both"/>
        <w:rPr>
          <w:rFonts w:ascii="Bookman Old Style" w:hAnsi="Bookman Old Style"/>
          <w:spacing w:val="-3"/>
          <w:sz w:val="20"/>
        </w:rPr>
      </w:pPr>
      <w:r w:rsidRPr="00362A50">
        <w:rPr>
          <w:rFonts w:ascii="Bookman Old Style" w:hAnsi="Bookman Old Style"/>
          <w:spacing w:val="-3"/>
          <w:sz w:val="20"/>
        </w:rPr>
        <w:t>Rozporządzenie Ministra Infrastruktury z dn. 08 listopada 2004 r. w sprawie aprobat technicznych oraz jednostek organizacyjnych upoważnionych do ich wydawania (Dz. U. nr 249, poz. 2497)</w:t>
      </w:r>
    </w:p>
    <w:p w14:paraId="34E5BB2C" w14:textId="77777777" w:rsidR="00D1201F" w:rsidRPr="00362A50" w:rsidRDefault="00D1201F" w:rsidP="00D1201F">
      <w:pPr>
        <w:numPr>
          <w:ilvl w:val="0"/>
          <w:numId w:val="4"/>
        </w:numPr>
        <w:tabs>
          <w:tab w:val="left" w:pos="-720"/>
        </w:tabs>
        <w:suppressAutoHyphens/>
        <w:jc w:val="both"/>
        <w:rPr>
          <w:rFonts w:ascii="Bookman Old Style" w:hAnsi="Bookman Old Style"/>
          <w:spacing w:val="-3"/>
          <w:sz w:val="20"/>
        </w:rPr>
      </w:pPr>
      <w:r w:rsidRPr="00362A50">
        <w:rPr>
          <w:rFonts w:ascii="Bookman Old Style" w:hAnsi="Bookman Old Style"/>
          <w:spacing w:val="-3"/>
          <w:sz w:val="20"/>
        </w:rPr>
        <w:t>CIE No. 39.2 1983 Recommendations for surface colours for visual signalling (Zalecenia dla barw powierzchniowych sygnalizacji wizualnej)</w:t>
      </w:r>
    </w:p>
    <w:p w14:paraId="6C4A5FD9" w14:textId="77777777" w:rsidR="00D1201F" w:rsidRPr="00362A50" w:rsidRDefault="00D1201F" w:rsidP="00D1201F">
      <w:pPr>
        <w:numPr>
          <w:ilvl w:val="0"/>
          <w:numId w:val="4"/>
        </w:numPr>
        <w:tabs>
          <w:tab w:val="left" w:pos="-720"/>
        </w:tabs>
        <w:suppressAutoHyphens/>
        <w:jc w:val="both"/>
        <w:rPr>
          <w:rFonts w:ascii="Bookman Old Style" w:hAnsi="Bookman Old Style"/>
          <w:spacing w:val="-3"/>
          <w:sz w:val="20"/>
        </w:rPr>
      </w:pPr>
      <w:r w:rsidRPr="00362A50">
        <w:rPr>
          <w:rFonts w:ascii="Bookman Old Style" w:hAnsi="Bookman Old Style"/>
          <w:spacing w:val="-3"/>
          <w:sz w:val="20"/>
        </w:rPr>
        <w:t>CIE No. 54 Retroreflection definition and measurement (Powierzchniowy współczynnik odblasku definicja i pomiary)</w:t>
      </w:r>
    </w:p>
    <w:p w14:paraId="7C4BF201" w14:textId="77777777" w:rsidR="00D1201F" w:rsidRPr="00362A50" w:rsidRDefault="00D1201F" w:rsidP="00D1201F">
      <w:pPr>
        <w:numPr>
          <w:ilvl w:val="0"/>
          <w:numId w:val="4"/>
        </w:numPr>
        <w:tabs>
          <w:tab w:val="left" w:pos="-720"/>
        </w:tabs>
        <w:suppressAutoHyphens/>
        <w:jc w:val="both"/>
        <w:rPr>
          <w:rFonts w:ascii="Bookman Old Style" w:hAnsi="Bookman Old Style"/>
          <w:spacing w:val="-3"/>
          <w:sz w:val="20"/>
        </w:rPr>
      </w:pPr>
      <w:r w:rsidRPr="00362A50">
        <w:rPr>
          <w:rFonts w:ascii="Bookman Old Style" w:hAnsi="Bookman Old Style"/>
          <w:spacing w:val="-3"/>
          <w:sz w:val="20"/>
        </w:rPr>
        <w:t>Ustawa z dnia 16 kwietnia 2004 r. o wyrobach budowlanych ( Dz. U. nr 92, poz. 881)</w:t>
      </w:r>
    </w:p>
    <w:p w14:paraId="088FF90B" w14:textId="77777777" w:rsidR="00D1201F" w:rsidRDefault="00D1201F" w:rsidP="00D1201F">
      <w:pPr>
        <w:numPr>
          <w:ilvl w:val="0"/>
          <w:numId w:val="4"/>
        </w:numPr>
        <w:tabs>
          <w:tab w:val="left" w:pos="-720"/>
        </w:tabs>
        <w:suppressAutoHyphens/>
        <w:jc w:val="both"/>
        <w:rPr>
          <w:rFonts w:ascii="Bookman Old Style" w:hAnsi="Bookman Old Style"/>
          <w:sz w:val="20"/>
          <w:szCs w:val="20"/>
        </w:rPr>
      </w:pPr>
      <w:r w:rsidRPr="00362A50">
        <w:rPr>
          <w:rFonts w:ascii="Bookman Old Style" w:hAnsi="Bookman Old Style"/>
          <w:spacing w:val="-3"/>
          <w:sz w:val="20"/>
        </w:rPr>
        <w:t>Rozporządzenie ministrów infrastruktury oraz spraw wewnętrznych i administracji z dnia 23 września 2008r</w:t>
      </w:r>
      <w:r w:rsidRPr="00362A50">
        <w:rPr>
          <w:rFonts w:ascii="Bookman Old Style" w:hAnsi="Bookman Old Style"/>
          <w:sz w:val="20"/>
          <w:szCs w:val="20"/>
        </w:rPr>
        <w:t xml:space="preserve"> zmieniające rozporządzenie w sprawie znaków i sygnałów drogowych (Dz.U nr 179, poz. 1104)</w:t>
      </w:r>
    </w:p>
    <w:p w14:paraId="1651C509" w14:textId="77777777" w:rsidR="00D1201F" w:rsidRDefault="00D1201F" w:rsidP="00D1201F">
      <w:pPr>
        <w:pStyle w:val="Nagwek4"/>
        <w:spacing w:after="0"/>
        <w:jc w:val="both"/>
        <w:rPr>
          <w:rFonts w:ascii="Bookman Old Style" w:hAnsi="Bookman Old Style"/>
          <w:sz w:val="20"/>
          <w:szCs w:val="20"/>
        </w:rPr>
      </w:pPr>
    </w:p>
    <w:p w14:paraId="73C4B121" w14:textId="77777777" w:rsidR="00D33DF2" w:rsidRDefault="00D33DF2"/>
    <w:sectPr w:rsidR="00D33DF2" w:rsidSect="00731C9C">
      <w:headerReference w:type="even" r:id="rId7"/>
      <w:headerReference w:type="default" r:id="rId8"/>
      <w:footerReference w:type="even" r:id="rId9"/>
      <w:footerReference w:type="default" r:id="rId10"/>
      <w:headerReference w:type="first" r:id="rId11"/>
      <w:footerReference w:type="first" r:id="rId12"/>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B37A1" w14:textId="77777777" w:rsidR="00C21CDD" w:rsidRDefault="00C21CDD">
      <w:r>
        <w:separator/>
      </w:r>
    </w:p>
  </w:endnote>
  <w:endnote w:type="continuationSeparator" w:id="0">
    <w:p w14:paraId="3011D300" w14:textId="77777777" w:rsidR="00C21CDD" w:rsidRDefault="00C2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208D1" w14:textId="77777777" w:rsidR="00D1201F" w:rsidRPr="005A0283" w:rsidRDefault="00D1201F" w:rsidP="00643F4F">
    <w:pPr>
      <w:pStyle w:val="Stopka"/>
      <w:pBdr>
        <w:top w:val="single" w:sz="2" w:space="1" w:color="auto"/>
      </w:pBdr>
    </w:pPr>
    <w:r>
      <w:rPr>
        <w:b/>
        <w:noProof/>
        <w:sz w:val="16"/>
      </w:rPr>
      <mc:AlternateContent>
        <mc:Choice Requires="wps">
          <w:drawing>
            <wp:anchor distT="0" distB="0" distL="114300" distR="114300" simplePos="0" relativeHeight="251660288" behindDoc="0" locked="0" layoutInCell="0" allowOverlap="1" wp14:anchorId="2B721999" wp14:editId="534CDA9F">
              <wp:simplePos x="0" y="0"/>
              <wp:positionH relativeFrom="rightMargin">
                <wp:posOffset>-5823585</wp:posOffset>
              </wp:positionH>
              <wp:positionV relativeFrom="margin">
                <wp:posOffset>9584690</wp:posOffset>
              </wp:positionV>
              <wp:extent cx="269240" cy="269240"/>
              <wp:effectExtent l="0" t="0" r="0" b="0"/>
              <wp:wrapNone/>
              <wp:docPr id="57"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69240" cy="269240"/>
                      </a:xfrm>
                      <a:prstGeom prst="rect">
                        <a:avLst/>
                      </a:prstGeom>
                      <a:noFill/>
                    </wps:spPr>
                    <wps:txbx>
                      <w:txbxContent>
                        <w:p w14:paraId="5A0099EC" w14:textId="77777777" w:rsidR="00D1201F" w:rsidRPr="005A1196" w:rsidRDefault="00D1201F" w:rsidP="00E7394A">
                          <w:pPr>
                            <w:rPr>
                              <w:sz w:val="16"/>
                            </w:rPr>
                          </w:pPr>
                          <w:r>
                            <w:rPr>
                              <w:sz w:val="16"/>
                            </w:rPr>
                            <w:t xml:space="preserve">  </w:t>
                          </w:r>
                          <w:r w:rsidRPr="005A1196">
                            <w:rPr>
                              <w:sz w:val="16"/>
                            </w:rPr>
                            <w:fldChar w:fldCharType="begin"/>
                          </w:r>
                          <w:r w:rsidRPr="005A1196">
                            <w:rPr>
                              <w:sz w:val="16"/>
                            </w:rPr>
                            <w:instrText>PAGE   \* MERGEFORMAT</w:instrText>
                          </w:r>
                          <w:r w:rsidRPr="005A1196">
                            <w:rPr>
                              <w:sz w:val="16"/>
                            </w:rPr>
                            <w:fldChar w:fldCharType="separate"/>
                          </w:r>
                          <w:r>
                            <w:rPr>
                              <w:noProof/>
                              <w:sz w:val="16"/>
                            </w:rPr>
                            <w:t>192</w:t>
                          </w:r>
                          <w:r w:rsidRPr="005A1196">
                            <w:rPr>
                              <w:sz w:val="16"/>
                            </w:rPr>
                            <w:fldChar w:fldCharType="end"/>
                          </w:r>
                          <w:r>
                            <w:rPr>
                              <w:sz w:val="16"/>
                            </w:rPr>
                            <w:t xml:space="preserve"> </w:t>
                          </w:r>
                        </w:p>
                      </w:txbxContent>
                    </wps:txbx>
                    <wps:bodyPr rot="0" vert="horz" wrap="square" lIns="0" tIns="45720" rIns="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2B721999" id="Prostokąt 3" o:spid="_x0000_s1026" style="position:absolute;margin-left:-458.55pt;margin-top:754.7pt;width:21.2pt;height:21.2pt;flip:y;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" o:allowincell="f" filled="f" stroked="f">
              <v:textbox inset="0,,0">
                <w:txbxContent>
                  <w:p w14:paraId="5A0099EC" w14:textId="77777777" w:rsidR="00D1201F" w:rsidRPr="005A1196" w:rsidRDefault="00D1201F" w:rsidP="00E7394A">
                    <w:pPr>
                      <w:rPr>
                        <w:sz w:val="16"/>
                      </w:rPr>
                    </w:pPr>
                    <w:r>
                      <w:rPr>
                        <w:sz w:val="16"/>
                      </w:rPr>
                      <w:t xml:space="preserve">  </w:t>
                    </w:r>
                    <w:r w:rsidRPr="005A1196">
                      <w:rPr>
                        <w:sz w:val="16"/>
                      </w:rPr>
                      <w:fldChar w:fldCharType="begin"/>
                    </w:r>
                    <w:r w:rsidRPr="005A1196">
                      <w:rPr>
                        <w:sz w:val="16"/>
                      </w:rPr>
                      <w:instrText>PAGE   \* MERGEFORMAT</w:instrText>
                    </w:r>
                    <w:r w:rsidRPr="005A1196">
                      <w:rPr>
                        <w:sz w:val="16"/>
                      </w:rPr>
                      <w:fldChar w:fldCharType="separate"/>
                    </w:r>
                    <w:r>
                      <w:rPr>
                        <w:noProof/>
                        <w:sz w:val="16"/>
                      </w:rPr>
                      <w:t>192</w:t>
                    </w:r>
                    <w:r w:rsidRPr="005A1196">
                      <w:rPr>
                        <w:sz w:val="16"/>
                      </w:rPr>
                      <w:fldChar w:fldCharType="end"/>
                    </w:r>
                    <w:r>
                      <w:rPr>
                        <w:sz w:val="16"/>
                      </w:rPr>
                      <w:t xml:space="preserve"> </w:t>
                    </w:r>
                  </w:p>
                </w:txbxContent>
              </v:textbox>
              <w10:wrap anchorx="margin" anchory="margin"/>
            </v:rect>
          </w:pict>
        </mc:Fallback>
      </mc:AlternateContent>
    </w:r>
    <w:r w:rsidRPr="005A0283">
      <w:rPr>
        <w:sz w:val="16"/>
      </w:rPr>
      <w:t xml:space="preserve"> STWiORB</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65806" w14:textId="2A1F5E33" w:rsidR="00D1201F" w:rsidRPr="005A0283" w:rsidRDefault="00D1201F" w:rsidP="00643F4F">
    <w:pPr>
      <w:pStyle w:val="Stopka"/>
      <w:pBdr>
        <w:top w:val="single" w:sz="2" w:space="1" w:color="auto"/>
      </w:pBdr>
    </w:pPr>
    <w:r w:rsidRPr="00643F4F">
      <w:rPr>
        <w:bCs/>
        <w:sz w:val="28"/>
        <w:szCs w:val="28"/>
      </w:rPr>
      <w:t xml:space="preserve"> </w:t>
    </w:r>
    <w:r w:rsidRPr="00376369">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8D98C" w14:textId="77777777" w:rsidR="00DF225F" w:rsidRDefault="00DF225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3AC74" w14:textId="77777777" w:rsidR="00C21CDD" w:rsidRDefault="00C21CDD">
      <w:r>
        <w:separator/>
      </w:r>
    </w:p>
  </w:footnote>
  <w:footnote w:type="continuationSeparator" w:id="0">
    <w:p w14:paraId="7037DF65" w14:textId="77777777" w:rsidR="00C21CDD" w:rsidRDefault="00C21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4322F" w14:textId="77777777" w:rsidR="00DF225F" w:rsidRDefault="00DF225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EC0A4" w14:textId="77777777" w:rsidR="00DF225F" w:rsidRDefault="00DF225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38785" w14:textId="77777777" w:rsidR="00DF225F" w:rsidRDefault="00DF225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12A86"/>
    <w:multiLevelType w:val="hybridMultilevel"/>
    <w:tmpl w:val="1C0C440C"/>
    <w:lvl w:ilvl="0" w:tplc="2A44EAEC">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6F2043"/>
    <w:multiLevelType w:val="multilevel"/>
    <w:tmpl w:val="05D6414A"/>
    <w:lvl w:ilvl="0">
      <w:start w:val="2"/>
      <w:numFmt w:val="decimal"/>
      <w:lvlText w:val="%1."/>
      <w:lvlJc w:val="left"/>
      <w:pPr>
        <w:tabs>
          <w:tab w:val="num" w:pos="360"/>
        </w:tabs>
        <w:ind w:left="360" w:hanging="360"/>
      </w:pPr>
      <w:rPr>
        <w:b w:val="0"/>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4AD80DA4"/>
    <w:multiLevelType w:val="multilevel"/>
    <w:tmpl w:val="17E4FDBE"/>
    <w:lvl w:ilvl="0">
      <w:start w:val="1"/>
      <w:numFmt w:val="lowerLetter"/>
      <w:lvlText w:val="%1)"/>
      <w:lvlJc w:val="left"/>
      <w:pPr>
        <w:tabs>
          <w:tab w:val="num" w:pos="360"/>
        </w:tabs>
        <w:ind w:left="360" w:hanging="360"/>
      </w:pPr>
    </w:lvl>
    <w:lvl w:ilvl="1">
      <w:start w:val="1"/>
      <w:numFmt w:val="bullet"/>
      <w:lvlText w:val=""/>
      <w:lvlJc w:val="left"/>
      <w:pPr>
        <w:tabs>
          <w:tab w:val="num" w:pos="502"/>
        </w:tabs>
        <w:ind w:left="502" w:hanging="360"/>
      </w:pPr>
      <w:rPr>
        <w:rFonts w:ascii="Symbol" w:hAnsi="Symbol"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4DE806DF"/>
    <w:multiLevelType w:val="multilevel"/>
    <w:tmpl w:val="FA16B00E"/>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1943148674">
    <w:abstractNumId w:val="1"/>
  </w:num>
  <w:num w:numId="2" w16cid:durableId="353728928">
    <w:abstractNumId w:val="2"/>
  </w:num>
  <w:num w:numId="3" w16cid:durableId="1863856705">
    <w:abstractNumId w:val="0"/>
  </w:num>
  <w:num w:numId="4" w16cid:durableId="15570812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01F"/>
    <w:rsid w:val="002657BD"/>
    <w:rsid w:val="00386B5F"/>
    <w:rsid w:val="00731C9C"/>
    <w:rsid w:val="007D0CB4"/>
    <w:rsid w:val="007E4D90"/>
    <w:rsid w:val="00C21CDD"/>
    <w:rsid w:val="00D1201F"/>
    <w:rsid w:val="00D33DF2"/>
    <w:rsid w:val="00DF225F"/>
    <w:rsid w:val="00F0375B"/>
    <w:rsid w:val="00FA5AE3"/>
    <w:rsid w:val="00FE7F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F720D"/>
  <w15:chartTrackingRefBased/>
  <w15:docId w15:val="{1C0438A0-5AB5-4AE9-A725-2861C5A6C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D1201F"/>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4">
    <w:name w:val="heading 4"/>
    <w:aliases w:val="Nagłówek 4 Znak Znak,Legenda Znak Znak Znak,Nagłówek 4 Znak Znak Znak Znak Znak,Znak Znak9 Znak Znak Znak Znak Znak Znak Znak Znak,Znak4 Znak Znak Znak Znak Znak Znak Znak Znak Znak,Znak Znak9,Znak4 Znak1"/>
    <w:basedOn w:val="Normalny"/>
    <w:next w:val="Normalny"/>
    <w:link w:val="Nagwek4Znak1"/>
    <w:qFormat/>
    <w:rsid w:val="00D1201F"/>
    <w:pPr>
      <w:keepNext/>
      <w:spacing w:before="120" w:after="60"/>
      <w:outlineLvl w:val="3"/>
    </w:pPr>
    <w:rPr>
      <w:b/>
      <w:bCs/>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uiPriority w:val="9"/>
    <w:semiHidden/>
    <w:rsid w:val="00D1201F"/>
    <w:rPr>
      <w:rFonts w:asciiTheme="majorHAnsi" w:eastAsiaTheme="majorEastAsia" w:hAnsiTheme="majorHAnsi" w:cstheme="majorBidi"/>
      <w:i/>
      <w:iCs/>
      <w:color w:val="2F5496" w:themeColor="accent1" w:themeShade="BF"/>
      <w:kern w:val="0"/>
      <w:sz w:val="24"/>
      <w:szCs w:val="24"/>
      <w:lang w:eastAsia="pl-PL"/>
      <w14:ligatures w14:val="none"/>
    </w:rPr>
  </w:style>
  <w:style w:type="character" w:customStyle="1" w:styleId="Nagwek4Znak1">
    <w:name w:val="Nagłówek 4 Znak1"/>
    <w:aliases w:val="Nagłówek 4 Znak Znak Znak,Legenda Znak Znak Znak Znak,Nagłówek 4 Znak Znak Znak Znak Znak Znak,Znak Znak9 Znak Znak Znak Znak Znak Znak Znak Znak Znak,Znak4 Znak Znak Znak Znak Znak Znak Znak Znak Znak Znak,Znak Znak9 Znak"/>
    <w:basedOn w:val="Domylnaczcionkaakapitu"/>
    <w:link w:val="Nagwek4"/>
    <w:rsid w:val="00D1201F"/>
    <w:rPr>
      <w:rFonts w:ascii="Times New Roman" w:eastAsia="Times New Roman" w:hAnsi="Times New Roman" w:cs="Times New Roman"/>
      <w:b/>
      <w:bCs/>
      <w:kern w:val="0"/>
      <w:sz w:val="24"/>
      <w:szCs w:val="28"/>
      <w:lang w:eastAsia="pl-PL"/>
      <w14:ligatures w14:val="none"/>
    </w:rPr>
  </w:style>
  <w:style w:type="paragraph" w:customStyle="1" w:styleId="tekstost">
    <w:name w:val="tekst ost"/>
    <w:basedOn w:val="Normalny"/>
    <w:rsid w:val="00D1201F"/>
    <w:pPr>
      <w:jc w:val="both"/>
    </w:pPr>
    <w:rPr>
      <w:sz w:val="20"/>
      <w:szCs w:val="20"/>
    </w:rPr>
  </w:style>
  <w:style w:type="paragraph" w:styleId="Tekstpodstawowy">
    <w:name w:val="Body Text"/>
    <w:aliases w:val=" Znak9, Znak3 Znak Znak Znak Znak Znak, Znak3 Znak Znak Znak Znak Znak Znak Zna, Znak3 Znak Znak Znak Znak, Znak3 Znak Znak Znak Znak Znak Znak Znak, Znak31 Znak Znak Znak Znak Znak Znak Znak Znak Znak Znak Znak Znak Znak Znak Znak Znak"/>
    <w:basedOn w:val="Normalny"/>
    <w:link w:val="TekstpodstawowyZnak"/>
    <w:qFormat/>
    <w:rsid w:val="00D1201F"/>
    <w:pPr>
      <w:tabs>
        <w:tab w:val="left" w:pos="1008"/>
        <w:tab w:val="left" w:pos="7459"/>
      </w:tabs>
    </w:pPr>
    <w:rPr>
      <w:rFonts w:ascii="Arial" w:hAnsi="Arial"/>
      <w:b/>
      <w:snapToGrid w:val="0"/>
      <w:color w:val="000000"/>
      <w:szCs w:val="20"/>
    </w:rPr>
  </w:style>
  <w:style w:type="character" w:customStyle="1" w:styleId="TekstpodstawowyZnak">
    <w:name w:val="Tekst podstawowy Znak"/>
    <w:aliases w:val=" Znak9 Znak, Znak3 Znak Znak Znak Znak Znak Znak, Znak3 Znak Znak Znak Znak Znak Znak Zna Znak, Znak3 Znak Znak Znak Znak Znak1, Znak3 Znak Znak Znak Znak Znak Znak Znak Znak"/>
    <w:basedOn w:val="Domylnaczcionkaakapitu"/>
    <w:link w:val="Tekstpodstawowy"/>
    <w:rsid w:val="00D1201F"/>
    <w:rPr>
      <w:rFonts w:ascii="Arial" w:eastAsia="Times New Roman" w:hAnsi="Arial" w:cs="Times New Roman"/>
      <w:b/>
      <w:snapToGrid w:val="0"/>
      <w:color w:val="000000"/>
      <w:kern w:val="0"/>
      <w:sz w:val="24"/>
      <w:szCs w:val="20"/>
      <w:lang w:eastAsia="pl-PL"/>
      <w14:ligatures w14:val="none"/>
    </w:rPr>
  </w:style>
  <w:style w:type="paragraph" w:styleId="Tekstpodstawowy3">
    <w:name w:val="Body Text 3"/>
    <w:basedOn w:val="Normalny"/>
    <w:link w:val="Tekstpodstawowy3Znak"/>
    <w:rsid w:val="00D1201F"/>
    <w:pPr>
      <w:tabs>
        <w:tab w:val="left" w:pos="0"/>
        <w:tab w:val="right" w:pos="8809"/>
      </w:tabs>
      <w:jc w:val="both"/>
    </w:pPr>
    <w:rPr>
      <w:sz w:val="22"/>
      <w:szCs w:val="20"/>
    </w:rPr>
  </w:style>
  <w:style w:type="character" w:customStyle="1" w:styleId="Tekstpodstawowy3Znak">
    <w:name w:val="Tekst podstawowy 3 Znak"/>
    <w:basedOn w:val="Domylnaczcionkaakapitu"/>
    <w:link w:val="Tekstpodstawowy3"/>
    <w:rsid w:val="00D1201F"/>
    <w:rPr>
      <w:rFonts w:ascii="Times New Roman" w:eastAsia="Times New Roman" w:hAnsi="Times New Roman" w:cs="Times New Roman"/>
      <w:kern w:val="0"/>
      <w:szCs w:val="20"/>
      <w:lang w:eastAsia="pl-PL"/>
      <w14:ligatures w14:val="none"/>
    </w:rPr>
  </w:style>
  <w:style w:type="paragraph" w:styleId="Stopka">
    <w:name w:val="footer"/>
    <w:aliases w:val=" Znak2, Znak21,Znak2,Znak21"/>
    <w:basedOn w:val="Normalny"/>
    <w:link w:val="StopkaZnak"/>
    <w:rsid w:val="00D1201F"/>
    <w:pPr>
      <w:tabs>
        <w:tab w:val="center" w:pos="4536"/>
        <w:tab w:val="right" w:pos="9072"/>
      </w:tabs>
    </w:pPr>
    <w:rPr>
      <w:sz w:val="20"/>
      <w:szCs w:val="20"/>
    </w:rPr>
  </w:style>
  <w:style w:type="character" w:customStyle="1" w:styleId="StopkaZnak">
    <w:name w:val="Stopka Znak"/>
    <w:aliases w:val=" Znak2 Znak, Znak21 Znak,Znak2 Znak,Znak21 Znak"/>
    <w:basedOn w:val="Domylnaczcionkaakapitu"/>
    <w:link w:val="Stopka"/>
    <w:rsid w:val="00D1201F"/>
    <w:rPr>
      <w:rFonts w:ascii="Times New Roman" w:eastAsia="Times New Roman" w:hAnsi="Times New Roman" w:cs="Times New Roman"/>
      <w:kern w:val="0"/>
      <w:sz w:val="20"/>
      <w:szCs w:val="20"/>
      <w:lang w:eastAsia="pl-PL"/>
      <w14:ligatures w14:val="none"/>
    </w:rPr>
  </w:style>
  <w:style w:type="paragraph" w:customStyle="1" w:styleId="StylIwony">
    <w:name w:val="Styl Iwony"/>
    <w:basedOn w:val="Normalny"/>
    <w:link w:val="StylIwonyZnak"/>
    <w:rsid w:val="00D1201F"/>
    <w:pPr>
      <w:overflowPunct w:val="0"/>
      <w:autoSpaceDE w:val="0"/>
      <w:autoSpaceDN w:val="0"/>
      <w:adjustRightInd w:val="0"/>
      <w:spacing w:before="120" w:after="120"/>
      <w:jc w:val="both"/>
      <w:textAlignment w:val="baseline"/>
    </w:pPr>
    <w:rPr>
      <w:rFonts w:ascii="Bookman Old Style" w:hAnsi="Bookman Old Style"/>
      <w:szCs w:val="20"/>
    </w:rPr>
  </w:style>
  <w:style w:type="paragraph" w:customStyle="1" w:styleId="StandardowytekstZnak">
    <w:name w:val="Standardowy.tekst Znak"/>
    <w:rsid w:val="00D1201F"/>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styleId="Nagwek">
    <w:name w:val="header"/>
    <w:aliases w:val="Nagłówek strony"/>
    <w:basedOn w:val="Normalny"/>
    <w:link w:val="NagwekZnak"/>
    <w:rsid w:val="00D1201F"/>
    <w:pPr>
      <w:tabs>
        <w:tab w:val="center" w:pos="4536"/>
        <w:tab w:val="right" w:pos="9072"/>
      </w:tabs>
    </w:pPr>
  </w:style>
  <w:style w:type="character" w:customStyle="1" w:styleId="NagwekZnak">
    <w:name w:val="Nagłówek Znak"/>
    <w:aliases w:val="Nagłówek strony Znak"/>
    <w:basedOn w:val="Domylnaczcionkaakapitu"/>
    <w:link w:val="Nagwek"/>
    <w:rsid w:val="00D1201F"/>
    <w:rPr>
      <w:rFonts w:ascii="Times New Roman" w:eastAsia="Times New Roman" w:hAnsi="Times New Roman" w:cs="Times New Roman"/>
      <w:kern w:val="0"/>
      <w:sz w:val="24"/>
      <w:szCs w:val="24"/>
      <w:lang w:eastAsia="pl-PL"/>
      <w14:ligatures w14:val="none"/>
    </w:rPr>
  </w:style>
  <w:style w:type="paragraph" w:styleId="Akapitzlist">
    <w:name w:val="List Paragraph"/>
    <w:basedOn w:val="Normalny"/>
    <w:uiPriority w:val="34"/>
    <w:qFormat/>
    <w:rsid w:val="00D1201F"/>
    <w:pPr>
      <w:ind w:left="720"/>
      <w:contextualSpacing/>
    </w:pPr>
  </w:style>
  <w:style w:type="character" w:customStyle="1" w:styleId="StylIwonyZnak">
    <w:name w:val="Styl Iwony Znak"/>
    <w:link w:val="StylIwony"/>
    <w:rsid w:val="00D1201F"/>
    <w:rPr>
      <w:rFonts w:ascii="Bookman Old Style" w:eastAsia="Times New Roman" w:hAnsi="Bookman Old Style" w:cs="Times New Roman"/>
      <w:kern w:val="0"/>
      <w:sz w:val="24"/>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3237</Words>
  <Characters>19426</Characters>
  <Application>Microsoft Office Word</Application>
  <DocSecurity>0</DocSecurity>
  <Lines>161</Lines>
  <Paragraphs>45</Paragraphs>
  <ScaleCrop>false</ScaleCrop>
  <Company/>
  <LinksUpToDate>false</LinksUpToDate>
  <CharactersWithSpaces>22618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dc:creator>
  <cp:keywords/>
  <dc:description/>
  <cp:lastModifiedBy>Karol Kossakowski</cp:lastModifiedBy>
  <cp:revision>5</cp:revision>
  <dcterms:created xsi:type="dcterms:W3CDTF">2023-11-27T10:41:00Z</dcterms:created>
  <dcterms:modified xsi:type="dcterms:W3CDTF">2026-04-11T15:59:00Z</dcterms:modified>
</cp:coreProperties>
</file>